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33E892DA" w14:textId="77777777" w:rsidTr="00D74AE1">
        <w:trPr>
          <w:trHeight w:hRule="exact" w:val="2948"/>
        </w:trPr>
        <w:tc>
          <w:tcPr>
            <w:tcW w:w="11185" w:type="dxa"/>
            <w:vAlign w:val="center"/>
          </w:tcPr>
          <w:p w14:paraId="029BF3E7"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7C5675EF" w14:textId="77777777" w:rsidR="008972C3" w:rsidRDefault="008972C3" w:rsidP="003274DB"/>
    <w:p w14:paraId="1BF74045" w14:textId="77777777" w:rsidR="00D74AE1" w:rsidRDefault="00D74AE1" w:rsidP="003274DB"/>
    <w:p w14:paraId="77696703" w14:textId="77777777" w:rsidR="0093492E" w:rsidRDefault="0026038D" w:rsidP="0026038D">
      <w:pPr>
        <w:pStyle w:val="Documentnumber"/>
      </w:pPr>
      <w:r>
        <w:t>1</w:t>
      </w:r>
      <w:r w:rsidR="00914330" w:rsidRPr="00914330">
        <w:rPr>
          <w:highlight w:val="yellow"/>
        </w:rPr>
        <w:t>???</w:t>
      </w:r>
    </w:p>
    <w:p w14:paraId="21A1D707" w14:textId="77777777" w:rsidR="0026038D" w:rsidRDefault="0026038D" w:rsidP="003274DB"/>
    <w:p w14:paraId="4756151C" w14:textId="631E5FA7" w:rsidR="00CF49CC" w:rsidRDefault="004C75DE" w:rsidP="00D74AE1">
      <w:r w:rsidRPr="004C75DE">
        <w:rPr>
          <w:bCs/>
          <w:caps/>
          <w:color w:val="00558C"/>
          <w:sz w:val="50"/>
          <w:szCs w:val="50"/>
        </w:rPr>
        <w:t>ON THE USE OF [IMPLEMENTATION OF] AUTONOMOUS MARITIME RADIO DEVICES (AMRD) USING AIS TECHNOLOGY</w:t>
      </w:r>
    </w:p>
    <w:p w14:paraId="4C749B2D" w14:textId="77777777" w:rsidR="004E0BBB" w:rsidRDefault="004E0BBB" w:rsidP="00D74AE1"/>
    <w:p w14:paraId="3071FC8B" w14:textId="77777777" w:rsidR="004E0BBB" w:rsidRDefault="004E0BBB" w:rsidP="00D74AE1"/>
    <w:p w14:paraId="6E32081D" w14:textId="77777777" w:rsidR="004E0BBB" w:rsidRDefault="004E0BBB" w:rsidP="00D74AE1"/>
    <w:p w14:paraId="106E20AC" w14:textId="77777777" w:rsidR="004E0BBB" w:rsidRDefault="004E0BBB" w:rsidP="00D74AE1"/>
    <w:p w14:paraId="6BE81BC2" w14:textId="77777777" w:rsidR="004E0BBB" w:rsidRDefault="004E0BBB" w:rsidP="00D74AE1"/>
    <w:p w14:paraId="427DC0EF" w14:textId="77777777" w:rsidR="004E0BBB" w:rsidRDefault="004E0BBB" w:rsidP="004E0BBB">
      <w:pPr>
        <w:pStyle w:val="Editionnumber"/>
      </w:pPr>
      <w:r>
        <w:t>Edition 1.0</w:t>
      </w:r>
    </w:p>
    <w:p w14:paraId="6D5F7A8C" w14:textId="77777777" w:rsidR="004E0BBB" w:rsidRDefault="00600C2B" w:rsidP="004E0BBB">
      <w:pPr>
        <w:pStyle w:val="Documentdate"/>
      </w:pPr>
      <w:r>
        <w:t>Document date</w:t>
      </w:r>
    </w:p>
    <w:p w14:paraId="02ED3204" w14:textId="77777777" w:rsidR="00BC27F6" w:rsidRDefault="00BC27F6" w:rsidP="00D74AE1">
      <w:pPr>
        <w:sectPr w:rsidR="00BC27F6" w:rsidSect="007E30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60A47F52"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7C025EC3" w14:textId="77777777" w:rsidTr="005E4659">
        <w:tc>
          <w:tcPr>
            <w:tcW w:w="1908" w:type="dxa"/>
          </w:tcPr>
          <w:p w14:paraId="21B54BA7" w14:textId="77777777" w:rsidR="00914E26" w:rsidRPr="00460028" w:rsidRDefault="00914E26" w:rsidP="00414698">
            <w:pPr>
              <w:pStyle w:val="Tableheading"/>
            </w:pPr>
            <w:r w:rsidRPr="00460028">
              <w:t>Date</w:t>
            </w:r>
          </w:p>
        </w:tc>
        <w:tc>
          <w:tcPr>
            <w:tcW w:w="3576" w:type="dxa"/>
          </w:tcPr>
          <w:p w14:paraId="43240E80" w14:textId="77777777" w:rsidR="00914E26" w:rsidRPr="00460028" w:rsidRDefault="00914E26" w:rsidP="00414698">
            <w:pPr>
              <w:pStyle w:val="Tableheading"/>
            </w:pPr>
            <w:r w:rsidRPr="00460028">
              <w:t>Page / Section Revised</w:t>
            </w:r>
          </w:p>
        </w:tc>
        <w:tc>
          <w:tcPr>
            <w:tcW w:w="5001" w:type="dxa"/>
          </w:tcPr>
          <w:p w14:paraId="594D0D41" w14:textId="77777777" w:rsidR="00914E26" w:rsidRPr="00460028" w:rsidRDefault="00914E26" w:rsidP="00414698">
            <w:pPr>
              <w:pStyle w:val="Tableheading"/>
            </w:pPr>
            <w:r w:rsidRPr="00460028">
              <w:t>Requirement for Revision</w:t>
            </w:r>
          </w:p>
        </w:tc>
      </w:tr>
      <w:tr w:rsidR="005E4659" w:rsidRPr="00460028" w14:paraId="555DD9D9" w14:textId="77777777" w:rsidTr="005E4659">
        <w:trPr>
          <w:trHeight w:val="851"/>
        </w:trPr>
        <w:tc>
          <w:tcPr>
            <w:tcW w:w="1908" w:type="dxa"/>
            <w:vAlign w:val="center"/>
          </w:tcPr>
          <w:p w14:paraId="01FA4B1E" w14:textId="77777777" w:rsidR="00914E26" w:rsidRPr="00C27E08" w:rsidRDefault="006218E8" w:rsidP="00914E26">
            <w:pPr>
              <w:pStyle w:val="Tabletext"/>
            </w:pPr>
            <w:r>
              <w:t>month/year approved by Council</w:t>
            </w:r>
          </w:p>
        </w:tc>
        <w:tc>
          <w:tcPr>
            <w:tcW w:w="3576" w:type="dxa"/>
            <w:vAlign w:val="center"/>
          </w:tcPr>
          <w:p w14:paraId="7A205D24" w14:textId="77777777" w:rsidR="00914E26" w:rsidRPr="00C27E08" w:rsidRDefault="006218E8" w:rsidP="00914E26">
            <w:pPr>
              <w:pStyle w:val="Tabletext"/>
            </w:pPr>
            <w:proofErr w:type="spellStart"/>
            <w:r>
              <w:t>aaaaa</w:t>
            </w:r>
            <w:proofErr w:type="spellEnd"/>
          </w:p>
        </w:tc>
        <w:tc>
          <w:tcPr>
            <w:tcW w:w="5001" w:type="dxa"/>
            <w:vAlign w:val="center"/>
          </w:tcPr>
          <w:p w14:paraId="46A22478" w14:textId="77777777" w:rsidR="00914E26" w:rsidRPr="00460028" w:rsidRDefault="006218E8" w:rsidP="00914E26">
            <w:pPr>
              <w:pStyle w:val="Tabletext"/>
            </w:pPr>
            <w:proofErr w:type="spellStart"/>
            <w:r>
              <w:t>aaaaaa</w:t>
            </w:r>
            <w:proofErr w:type="spellEnd"/>
          </w:p>
        </w:tc>
      </w:tr>
      <w:tr w:rsidR="005E4659" w:rsidRPr="00460028" w14:paraId="059C8E92" w14:textId="77777777" w:rsidTr="005E4659">
        <w:trPr>
          <w:trHeight w:val="851"/>
        </w:trPr>
        <w:tc>
          <w:tcPr>
            <w:tcW w:w="1908" w:type="dxa"/>
            <w:vAlign w:val="center"/>
          </w:tcPr>
          <w:p w14:paraId="0C7B33E6" w14:textId="77777777" w:rsidR="00914E26" w:rsidRPr="00460028" w:rsidRDefault="00914E26" w:rsidP="00914E26">
            <w:pPr>
              <w:pStyle w:val="Tabletext"/>
            </w:pPr>
          </w:p>
        </w:tc>
        <w:tc>
          <w:tcPr>
            <w:tcW w:w="3576" w:type="dxa"/>
            <w:vAlign w:val="center"/>
          </w:tcPr>
          <w:p w14:paraId="6D82BEC4" w14:textId="77777777" w:rsidR="00914E26" w:rsidRPr="00460028" w:rsidRDefault="00914E26" w:rsidP="00914E26">
            <w:pPr>
              <w:pStyle w:val="Tabletext"/>
            </w:pPr>
          </w:p>
        </w:tc>
        <w:tc>
          <w:tcPr>
            <w:tcW w:w="5001" w:type="dxa"/>
            <w:vAlign w:val="center"/>
          </w:tcPr>
          <w:p w14:paraId="4BDD5898" w14:textId="77777777" w:rsidR="00914E26" w:rsidRPr="00460028" w:rsidRDefault="00914E26" w:rsidP="00914E26">
            <w:pPr>
              <w:pStyle w:val="Tabletext"/>
            </w:pPr>
          </w:p>
        </w:tc>
      </w:tr>
      <w:tr w:rsidR="005E4659" w:rsidRPr="00460028" w14:paraId="282C8549" w14:textId="77777777" w:rsidTr="005E4659">
        <w:trPr>
          <w:trHeight w:val="851"/>
        </w:trPr>
        <w:tc>
          <w:tcPr>
            <w:tcW w:w="1908" w:type="dxa"/>
            <w:vAlign w:val="center"/>
          </w:tcPr>
          <w:p w14:paraId="6216383A" w14:textId="77777777" w:rsidR="00914E26" w:rsidRPr="00460028" w:rsidRDefault="00914E26" w:rsidP="00914E26">
            <w:pPr>
              <w:pStyle w:val="Tabletext"/>
            </w:pPr>
          </w:p>
        </w:tc>
        <w:tc>
          <w:tcPr>
            <w:tcW w:w="3576" w:type="dxa"/>
            <w:vAlign w:val="center"/>
          </w:tcPr>
          <w:p w14:paraId="0977E3F6" w14:textId="77777777" w:rsidR="00914E26" w:rsidRPr="00460028" w:rsidRDefault="00914E26" w:rsidP="00914E26">
            <w:pPr>
              <w:pStyle w:val="Tabletext"/>
            </w:pPr>
          </w:p>
        </w:tc>
        <w:tc>
          <w:tcPr>
            <w:tcW w:w="5001" w:type="dxa"/>
            <w:vAlign w:val="center"/>
          </w:tcPr>
          <w:p w14:paraId="57711481" w14:textId="77777777" w:rsidR="00914E26" w:rsidRPr="00460028" w:rsidRDefault="00914E26" w:rsidP="00914E26">
            <w:pPr>
              <w:pStyle w:val="Tabletext"/>
            </w:pPr>
          </w:p>
        </w:tc>
      </w:tr>
      <w:tr w:rsidR="005E4659" w:rsidRPr="00460028" w14:paraId="4B150329" w14:textId="77777777" w:rsidTr="005E4659">
        <w:trPr>
          <w:trHeight w:val="851"/>
        </w:trPr>
        <w:tc>
          <w:tcPr>
            <w:tcW w:w="1908" w:type="dxa"/>
            <w:vAlign w:val="center"/>
          </w:tcPr>
          <w:p w14:paraId="4F0214FD" w14:textId="77777777" w:rsidR="00914E26" w:rsidRPr="00460028" w:rsidRDefault="00914E26" w:rsidP="00914E26">
            <w:pPr>
              <w:pStyle w:val="Tabletext"/>
            </w:pPr>
          </w:p>
        </w:tc>
        <w:tc>
          <w:tcPr>
            <w:tcW w:w="3576" w:type="dxa"/>
            <w:vAlign w:val="center"/>
          </w:tcPr>
          <w:p w14:paraId="1DEC1517" w14:textId="77777777" w:rsidR="00914E26" w:rsidRPr="00460028" w:rsidRDefault="00914E26" w:rsidP="00914E26">
            <w:pPr>
              <w:pStyle w:val="Tabletext"/>
            </w:pPr>
          </w:p>
        </w:tc>
        <w:tc>
          <w:tcPr>
            <w:tcW w:w="5001" w:type="dxa"/>
            <w:vAlign w:val="center"/>
          </w:tcPr>
          <w:p w14:paraId="04F1CB68" w14:textId="77777777" w:rsidR="00914E26" w:rsidRPr="00460028" w:rsidRDefault="00914E26" w:rsidP="00914E26">
            <w:pPr>
              <w:pStyle w:val="Tabletext"/>
            </w:pPr>
          </w:p>
        </w:tc>
      </w:tr>
      <w:tr w:rsidR="005E4659" w:rsidRPr="00460028" w14:paraId="795973DF" w14:textId="77777777" w:rsidTr="005E4659">
        <w:trPr>
          <w:trHeight w:val="851"/>
        </w:trPr>
        <w:tc>
          <w:tcPr>
            <w:tcW w:w="1908" w:type="dxa"/>
            <w:vAlign w:val="center"/>
          </w:tcPr>
          <w:p w14:paraId="00272672" w14:textId="77777777" w:rsidR="00914E26" w:rsidRPr="00460028" w:rsidRDefault="00914E26" w:rsidP="00914E26">
            <w:pPr>
              <w:pStyle w:val="Tabletext"/>
            </w:pPr>
          </w:p>
        </w:tc>
        <w:tc>
          <w:tcPr>
            <w:tcW w:w="3576" w:type="dxa"/>
            <w:vAlign w:val="center"/>
          </w:tcPr>
          <w:p w14:paraId="78FAA220" w14:textId="77777777" w:rsidR="00914E26" w:rsidRPr="00460028" w:rsidRDefault="00914E26" w:rsidP="00914E26">
            <w:pPr>
              <w:pStyle w:val="Tabletext"/>
            </w:pPr>
          </w:p>
        </w:tc>
        <w:tc>
          <w:tcPr>
            <w:tcW w:w="5001" w:type="dxa"/>
            <w:vAlign w:val="center"/>
          </w:tcPr>
          <w:p w14:paraId="422AA71A" w14:textId="77777777" w:rsidR="00914E26" w:rsidRPr="00460028" w:rsidRDefault="00914E26" w:rsidP="00914E26">
            <w:pPr>
              <w:pStyle w:val="Tabletext"/>
            </w:pPr>
          </w:p>
        </w:tc>
      </w:tr>
      <w:tr w:rsidR="005E4659" w:rsidRPr="00460028" w14:paraId="1EB2D642" w14:textId="77777777" w:rsidTr="005E4659">
        <w:trPr>
          <w:trHeight w:val="851"/>
        </w:trPr>
        <w:tc>
          <w:tcPr>
            <w:tcW w:w="1908" w:type="dxa"/>
            <w:vAlign w:val="center"/>
          </w:tcPr>
          <w:p w14:paraId="77BF33A2" w14:textId="77777777" w:rsidR="00914E26" w:rsidRPr="00460028" w:rsidRDefault="00914E26" w:rsidP="00914E26">
            <w:pPr>
              <w:pStyle w:val="Tabletext"/>
            </w:pPr>
          </w:p>
        </w:tc>
        <w:tc>
          <w:tcPr>
            <w:tcW w:w="3576" w:type="dxa"/>
            <w:vAlign w:val="center"/>
          </w:tcPr>
          <w:p w14:paraId="7D2CD757" w14:textId="77777777" w:rsidR="00914E26" w:rsidRPr="00460028" w:rsidRDefault="00914E26" w:rsidP="00914E26">
            <w:pPr>
              <w:pStyle w:val="Tabletext"/>
            </w:pPr>
          </w:p>
        </w:tc>
        <w:tc>
          <w:tcPr>
            <w:tcW w:w="5001" w:type="dxa"/>
            <w:vAlign w:val="center"/>
          </w:tcPr>
          <w:p w14:paraId="3C4E30CC" w14:textId="77777777" w:rsidR="00914E26" w:rsidRPr="00460028" w:rsidRDefault="00914E26" w:rsidP="00914E26">
            <w:pPr>
              <w:pStyle w:val="Tabletext"/>
            </w:pPr>
          </w:p>
        </w:tc>
      </w:tr>
      <w:tr w:rsidR="005E4659" w:rsidRPr="00460028" w14:paraId="6EF8B50A" w14:textId="77777777" w:rsidTr="005E4659">
        <w:trPr>
          <w:trHeight w:val="851"/>
        </w:trPr>
        <w:tc>
          <w:tcPr>
            <w:tcW w:w="1908" w:type="dxa"/>
            <w:vAlign w:val="center"/>
          </w:tcPr>
          <w:p w14:paraId="4DD254C7" w14:textId="77777777" w:rsidR="00914E26" w:rsidRPr="00460028" w:rsidRDefault="00914E26" w:rsidP="00914E26">
            <w:pPr>
              <w:pStyle w:val="Tabletext"/>
            </w:pPr>
          </w:p>
        </w:tc>
        <w:tc>
          <w:tcPr>
            <w:tcW w:w="3576" w:type="dxa"/>
            <w:vAlign w:val="center"/>
          </w:tcPr>
          <w:p w14:paraId="190B35FB" w14:textId="77777777" w:rsidR="00914E26" w:rsidRPr="00460028" w:rsidRDefault="00914E26" w:rsidP="00914E26">
            <w:pPr>
              <w:pStyle w:val="Tabletext"/>
            </w:pPr>
          </w:p>
        </w:tc>
        <w:tc>
          <w:tcPr>
            <w:tcW w:w="5001" w:type="dxa"/>
            <w:vAlign w:val="center"/>
          </w:tcPr>
          <w:p w14:paraId="5E228FEF" w14:textId="77777777" w:rsidR="00914E26" w:rsidRPr="00460028" w:rsidRDefault="00914E26" w:rsidP="00914E26">
            <w:pPr>
              <w:pStyle w:val="Tabletext"/>
            </w:pPr>
          </w:p>
        </w:tc>
      </w:tr>
    </w:tbl>
    <w:p w14:paraId="56462C14" w14:textId="77777777" w:rsidR="00914E26" w:rsidRDefault="00914E26" w:rsidP="00D74AE1"/>
    <w:p w14:paraId="5D15E763" w14:textId="77777777" w:rsidR="005E4659" w:rsidRDefault="005E4659" w:rsidP="00914E26">
      <w:pPr>
        <w:spacing w:after="200" w:line="276" w:lineRule="auto"/>
        <w:sectPr w:rsidR="005E4659" w:rsidSect="00C716E5">
          <w:headerReference w:type="even" r:id="rId15"/>
          <w:headerReference w:type="default" r:id="rId16"/>
          <w:footerReference w:type="default" r:id="rId17"/>
          <w:headerReference w:type="first" r:id="rId18"/>
          <w:pgSz w:w="11906" w:h="16838" w:code="9"/>
          <w:pgMar w:top="567" w:right="794" w:bottom="567" w:left="907" w:header="567" w:footer="850" w:gutter="0"/>
          <w:cols w:space="708"/>
          <w:docGrid w:linePitch="360"/>
        </w:sectPr>
      </w:pPr>
    </w:p>
    <w:p w14:paraId="1B3DBD06" w14:textId="1ACF5037" w:rsidR="004C75DE" w:rsidRDefault="004A4EC4">
      <w:pPr>
        <w:pStyle w:val="TOC1"/>
        <w:rPr>
          <w:rFonts w:eastAsiaTheme="minorEastAsia"/>
          <w:b w:val="0"/>
          <w:color w:val="auto"/>
          <w:lang w:val="en-AU" w:eastAsia="en-AU"/>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4C75DE">
        <w:t>1</w:t>
      </w:r>
      <w:r w:rsidR="004C75DE">
        <w:rPr>
          <w:rFonts w:eastAsiaTheme="minorEastAsia"/>
          <w:b w:val="0"/>
          <w:color w:val="auto"/>
          <w:lang w:val="en-AU" w:eastAsia="en-AU"/>
        </w:rPr>
        <w:tab/>
      </w:r>
      <w:r w:rsidR="004C75DE">
        <w:t>Background</w:t>
      </w:r>
      <w:r w:rsidR="004C75DE">
        <w:tab/>
      </w:r>
      <w:r w:rsidR="004C75DE">
        <w:fldChar w:fldCharType="begin"/>
      </w:r>
      <w:r w:rsidR="004C75DE">
        <w:instrText xml:space="preserve"> PAGEREF _Toc527030778 \h </w:instrText>
      </w:r>
      <w:r w:rsidR="004C75DE">
        <w:fldChar w:fldCharType="separate"/>
      </w:r>
      <w:r w:rsidR="004C75DE">
        <w:t>4</w:t>
      </w:r>
      <w:r w:rsidR="004C75DE">
        <w:fldChar w:fldCharType="end"/>
      </w:r>
    </w:p>
    <w:p w14:paraId="2A895FBB" w14:textId="37FC175E" w:rsidR="004C75DE" w:rsidRDefault="004C75DE">
      <w:pPr>
        <w:pStyle w:val="TOC1"/>
        <w:rPr>
          <w:rFonts w:eastAsiaTheme="minorEastAsia"/>
          <w:b w:val="0"/>
          <w:color w:val="auto"/>
          <w:lang w:val="en-AU" w:eastAsia="en-AU"/>
        </w:rPr>
      </w:pPr>
      <w:r>
        <w:t>2</w:t>
      </w:r>
      <w:r>
        <w:rPr>
          <w:rFonts w:eastAsiaTheme="minorEastAsia"/>
          <w:b w:val="0"/>
          <w:color w:val="auto"/>
          <w:lang w:val="en-AU" w:eastAsia="en-AU"/>
        </w:rPr>
        <w:tab/>
      </w:r>
      <w:r>
        <w:t>INTRODUCTION</w:t>
      </w:r>
      <w:r>
        <w:tab/>
      </w:r>
      <w:r>
        <w:fldChar w:fldCharType="begin"/>
      </w:r>
      <w:r>
        <w:instrText xml:space="preserve"> PAGEREF _Toc527030779 \h </w:instrText>
      </w:r>
      <w:r>
        <w:fldChar w:fldCharType="separate"/>
      </w:r>
      <w:r>
        <w:t>5</w:t>
      </w:r>
      <w:r>
        <w:fldChar w:fldCharType="end"/>
      </w:r>
    </w:p>
    <w:p w14:paraId="732A4686" w14:textId="2C616898" w:rsidR="004C75DE" w:rsidRDefault="004C75DE">
      <w:pPr>
        <w:pStyle w:val="TOC2"/>
        <w:rPr>
          <w:rFonts w:eastAsiaTheme="minorEastAsia"/>
          <w:color w:val="auto"/>
          <w:lang w:val="en-AU" w:eastAsia="en-AU"/>
        </w:rPr>
      </w:pPr>
      <w:r>
        <w:t>2.1</w:t>
      </w:r>
      <w:r>
        <w:rPr>
          <w:rFonts w:eastAsiaTheme="minorEastAsia"/>
          <w:color w:val="auto"/>
          <w:lang w:val="en-AU" w:eastAsia="en-AU"/>
        </w:rPr>
        <w:tab/>
      </w:r>
      <w:r>
        <w:t>The appeal of AIS frequencies and technology</w:t>
      </w:r>
      <w:r>
        <w:tab/>
      </w:r>
      <w:r>
        <w:fldChar w:fldCharType="begin"/>
      </w:r>
      <w:r>
        <w:instrText xml:space="preserve"> PAGEREF _Toc527030780 \h </w:instrText>
      </w:r>
      <w:r>
        <w:fldChar w:fldCharType="separate"/>
      </w:r>
      <w:r>
        <w:t>5</w:t>
      </w:r>
      <w:r>
        <w:fldChar w:fldCharType="end"/>
      </w:r>
    </w:p>
    <w:p w14:paraId="37E0685C" w14:textId="4315C1FB" w:rsidR="004C75DE" w:rsidRDefault="004C75DE">
      <w:pPr>
        <w:pStyle w:val="TOC2"/>
        <w:rPr>
          <w:rFonts w:eastAsiaTheme="minorEastAsia"/>
          <w:color w:val="auto"/>
          <w:lang w:val="en-AU" w:eastAsia="en-AU"/>
        </w:rPr>
      </w:pPr>
      <w:r>
        <w:t>2.2</w:t>
      </w:r>
      <w:r>
        <w:rPr>
          <w:rFonts w:eastAsiaTheme="minorEastAsia"/>
          <w:color w:val="auto"/>
          <w:lang w:val="en-AU" w:eastAsia="en-AU"/>
        </w:rPr>
        <w:tab/>
      </w:r>
      <w:r>
        <w:t>The risks of AIS-AMRD for mariners</w:t>
      </w:r>
      <w:r>
        <w:tab/>
      </w:r>
      <w:r>
        <w:fldChar w:fldCharType="begin"/>
      </w:r>
      <w:r>
        <w:instrText xml:space="preserve"> PAGEREF _Toc527030781 \h </w:instrText>
      </w:r>
      <w:r>
        <w:fldChar w:fldCharType="separate"/>
      </w:r>
      <w:r>
        <w:t>5</w:t>
      </w:r>
      <w:r>
        <w:fldChar w:fldCharType="end"/>
      </w:r>
    </w:p>
    <w:p w14:paraId="371057A1" w14:textId="09D57143" w:rsidR="004C75DE" w:rsidRDefault="004C75DE">
      <w:pPr>
        <w:pStyle w:val="TOC3"/>
        <w:tabs>
          <w:tab w:val="left" w:pos="1134"/>
          <w:tab w:val="right" w:leader="dot" w:pos="10195"/>
        </w:tabs>
        <w:rPr>
          <w:rFonts w:eastAsiaTheme="minorEastAsia"/>
          <w:noProof/>
          <w:sz w:val="22"/>
          <w:lang w:val="en-AU" w:eastAsia="en-AU"/>
        </w:rPr>
      </w:pPr>
      <w:r>
        <w:rPr>
          <w:noProof/>
        </w:rPr>
        <w:t>2.2.1</w:t>
      </w:r>
      <w:r>
        <w:rPr>
          <w:rFonts w:eastAsiaTheme="minorEastAsia"/>
          <w:noProof/>
          <w:sz w:val="22"/>
          <w:lang w:val="en-AU" w:eastAsia="en-AU"/>
        </w:rPr>
        <w:tab/>
      </w:r>
      <w:r>
        <w:rPr>
          <w:noProof/>
        </w:rPr>
        <w:t>AIS channel load</w:t>
      </w:r>
      <w:r>
        <w:rPr>
          <w:noProof/>
        </w:rPr>
        <w:tab/>
      </w:r>
      <w:r>
        <w:rPr>
          <w:noProof/>
        </w:rPr>
        <w:fldChar w:fldCharType="begin"/>
      </w:r>
      <w:r>
        <w:rPr>
          <w:noProof/>
        </w:rPr>
        <w:instrText xml:space="preserve"> PAGEREF _Toc527030782 \h </w:instrText>
      </w:r>
      <w:r>
        <w:rPr>
          <w:noProof/>
        </w:rPr>
      </w:r>
      <w:r>
        <w:rPr>
          <w:noProof/>
        </w:rPr>
        <w:fldChar w:fldCharType="separate"/>
      </w:r>
      <w:r>
        <w:rPr>
          <w:noProof/>
        </w:rPr>
        <w:t>5</w:t>
      </w:r>
      <w:r>
        <w:rPr>
          <w:noProof/>
        </w:rPr>
        <w:fldChar w:fldCharType="end"/>
      </w:r>
    </w:p>
    <w:p w14:paraId="08FE9CE6" w14:textId="5EB32F47" w:rsidR="004C75DE" w:rsidRDefault="004C75DE">
      <w:pPr>
        <w:pStyle w:val="TOC3"/>
        <w:tabs>
          <w:tab w:val="left" w:pos="1134"/>
          <w:tab w:val="right" w:leader="dot" w:pos="10195"/>
        </w:tabs>
        <w:rPr>
          <w:rFonts w:eastAsiaTheme="minorEastAsia"/>
          <w:noProof/>
          <w:sz w:val="22"/>
          <w:lang w:val="en-AU" w:eastAsia="en-AU"/>
        </w:rPr>
      </w:pPr>
      <w:r>
        <w:rPr>
          <w:noProof/>
        </w:rPr>
        <w:t>2.2.2</w:t>
      </w:r>
      <w:r>
        <w:rPr>
          <w:rFonts w:eastAsiaTheme="minorEastAsia"/>
          <w:noProof/>
          <w:sz w:val="22"/>
          <w:lang w:val="en-AU" w:eastAsia="en-AU"/>
        </w:rPr>
        <w:tab/>
      </w:r>
      <w:r>
        <w:rPr>
          <w:noProof/>
        </w:rPr>
        <w:t>AMRD appearing as Class B devices</w:t>
      </w:r>
      <w:r>
        <w:rPr>
          <w:noProof/>
        </w:rPr>
        <w:tab/>
      </w:r>
      <w:r>
        <w:rPr>
          <w:noProof/>
        </w:rPr>
        <w:fldChar w:fldCharType="begin"/>
      </w:r>
      <w:r>
        <w:rPr>
          <w:noProof/>
        </w:rPr>
        <w:instrText xml:space="preserve"> PAGEREF _Toc527030783 \h </w:instrText>
      </w:r>
      <w:r>
        <w:rPr>
          <w:noProof/>
        </w:rPr>
      </w:r>
      <w:r>
        <w:rPr>
          <w:noProof/>
        </w:rPr>
        <w:fldChar w:fldCharType="separate"/>
      </w:r>
      <w:r>
        <w:rPr>
          <w:noProof/>
        </w:rPr>
        <w:t>6</w:t>
      </w:r>
      <w:r>
        <w:rPr>
          <w:noProof/>
        </w:rPr>
        <w:fldChar w:fldCharType="end"/>
      </w:r>
    </w:p>
    <w:p w14:paraId="2AD5DC21" w14:textId="26DF077C" w:rsidR="004C75DE" w:rsidRDefault="004C75DE">
      <w:pPr>
        <w:pStyle w:val="TOC3"/>
        <w:tabs>
          <w:tab w:val="left" w:pos="1134"/>
          <w:tab w:val="right" w:leader="dot" w:pos="10195"/>
        </w:tabs>
        <w:rPr>
          <w:rFonts w:eastAsiaTheme="minorEastAsia"/>
          <w:noProof/>
          <w:sz w:val="22"/>
          <w:lang w:val="en-AU" w:eastAsia="en-AU"/>
        </w:rPr>
      </w:pPr>
      <w:r>
        <w:rPr>
          <w:noProof/>
        </w:rPr>
        <w:t>2.2.3</w:t>
      </w:r>
      <w:r>
        <w:rPr>
          <w:rFonts w:eastAsiaTheme="minorEastAsia"/>
          <w:noProof/>
          <w:sz w:val="22"/>
          <w:lang w:val="en-AU" w:eastAsia="en-AU"/>
        </w:rPr>
        <w:tab/>
      </w:r>
      <w:r>
        <w:rPr>
          <w:noProof/>
        </w:rPr>
        <w:t>AMRD not meeting technical standards</w:t>
      </w:r>
      <w:r>
        <w:rPr>
          <w:noProof/>
        </w:rPr>
        <w:tab/>
      </w:r>
      <w:r>
        <w:rPr>
          <w:noProof/>
        </w:rPr>
        <w:fldChar w:fldCharType="begin"/>
      </w:r>
      <w:r>
        <w:rPr>
          <w:noProof/>
        </w:rPr>
        <w:instrText xml:space="preserve"> PAGEREF _Toc527030784 \h </w:instrText>
      </w:r>
      <w:r>
        <w:rPr>
          <w:noProof/>
        </w:rPr>
      </w:r>
      <w:r>
        <w:rPr>
          <w:noProof/>
        </w:rPr>
        <w:fldChar w:fldCharType="separate"/>
      </w:r>
      <w:r>
        <w:rPr>
          <w:noProof/>
        </w:rPr>
        <w:t>6</w:t>
      </w:r>
      <w:r>
        <w:rPr>
          <w:noProof/>
        </w:rPr>
        <w:fldChar w:fldCharType="end"/>
      </w:r>
    </w:p>
    <w:p w14:paraId="696A96C8" w14:textId="0D124114" w:rsidR="004C75DE" w:rsidRDefault="004C75DE">
      <w:pPr>
        <w:pStyle w:val="TOC3"/>
        <w:tabs>
          <w:tab w:val="left" w:pos="1134"/>
          <w:tab w:val="right" w:leader="dot" w:pos="10195"/>
        </w:tabs>
        <w:rPr>
          <w:rFonts w:eastAsiaTheme="minorEastAsia"/>
          <w:noProof/>
          <w:sz w:val="22"/>
          <w:lang w:val="en-AU" w:eastAsia="en-AU"/>
        </w:rPr>
      </w:pPr>
      <w:r>
        <w:rPr>
          <w:noProof/>
        </w:rPr>
        <w:t>2.2.4</w:t>
      </w:r>
      <w:r>
        <w:rPr>
          <w:rFonts w:eastAsiaTheme="minorEastAsia"/>
          <w:noProof/>
          <w:sz w:val="22"/>
          <w:lang w:val="en-AU" w:eastAsia="en-AU"/>
        </w:rPr>
        <w:tab/>
      </w:r>
      <w:r>
        <w:rPr>
          <w:noProof/>
        </w:rPr>
        <w:t>Screen over crowing of navigation display</w:t>
      </w:r>
      <w:r>
        <w:rPr>
          <w:noProof/>
        </w:rPr>
        <w:tab/>
      </w:r>
      <w:r>
        <w:rPr>
          <w:noProof/>
        </w:rPr>
        <w:fldChar w:fldCharType="begin"/>
      </w:r>
      <w:r>
        <w:rPr>
          <w:noProof/>
        </w:rPr>
        <w:instrText xml:space="preserve"> PAGEREF _Toc527030785 \h </w:instrText>
      </w:r>
      <w:r>
        <w:rPr>
          <w:noProof/>
        </w:rPr>
      </w:r>
      <w:r>
        <w:rPr>
          <w:noProof/>
        </w:rPr>
        <w:fldChar w:fldCharType="separate"/>
      </w:r>
      <w:r>
        <w:rPr>
          <w:noProof/>
        </w:rPr>
        <w:t>7</w:t>
      </w:r>
      <w:r>
        <w:rPr>
          <w:noProof/>
        </w:rPr>
        <w:fldChar w:fldCharType="end"/>
      </w:r>
    </w:p>
    <w:p w14:paraId="39276AB9" w14:textId="2CAC2043" w:rsidR="004C75DE" w:rsidRDefault="004C75DE">
      <w:pPr>
        <w:pStyle w:val="TOC2"/>
        <w:rPr>
          <w:rFonts w:eastAsiaTheme="minorEastAsia"/>
          <w:color w:val="auto"/>
          <w:lang w:val="en-AU" w:eastAsia="en-AU"/>
        </w:rPr>
      </w:pPr>
      <w:r>
        <w:t>2.3</w:t>
      </w:r>
      <w:r>
        <w:rPr>
          <w:rFonts w:eastAsiaTheme="minorEastAsia"/>
          <w:color w:val="auto"/>
          <w:lang w:val="en-AU" w:eastAsia="en-AU"/>
        </w:rPr>
        <w:tab/>
      </w:r>
      <w:r>
        <w:t>The need for action</w:t>
      </w:r>
      <w:r>
        <w:tab/>
      </w:r>
      <w:r>
        <w:fldChar w:fldCharType="begin"/>
      </w:r>
      <w:r>
        <w:instrText xml:space="preserve"> PAGEREF _Toc527030786 \h </w:instrText>
      </w:r>
      <w:r>
        <w:fldChar w:fldCharType="separate"/>
      </w:r>
      <w:r>
        <w:t>8</w:t>
      </w:r>
      <w:r>
        <w:fldChar w:fldCharType="end"/>
      </w:r>
    </w:p>
    <w:p w14:paraId="3835FC8C" w14:textId="136CD620" w:rsidR="004C75DE" w:rsidRDefault="004C75DE">
      <w:pPr>
        <w:pStyle w:val="TOC1"/>
        <w:rPr>
          <w:rFonts w:eastAsiaTheme="minorEastAsia"/>
          <w:b w:val="0"/>
          <w:color w:val="auto"/>
          <w:lang w:val="en-AU" w:eastAsia="en-AU"/>
        </w:rPr>
      </w:pPr>
      <w:r>
        <w:rPr>
          <w:lang w:eastAsia="zh-CN"/>
        </w:rPr>
        <w:t>3</w:t>
      </w:r>
      <w:r>
        <w:rPr>
          <w:rFonts w:eastAsiaTheme="minorEastAsia"/>
          <w:b w:val="0"/>
          <w:color w:val="auto"/>
          <w:lang w:val="en-AU" w:eastAsia="en-AU"/>
        </w:rPr>
        <w:tab/>
      </w:r>
      <w:r>
        <w:rPr>
          <w:lang w:eastAsia="zh-CN"/>
        </w:rPr>
        <w:t>Recommendations on the use of AMRDs</w:t>
      </w:r>
      <w:r>
        <w:tab/>
      </w:r>
      <w:r>
        <w:fldChar w:fldCharType="begin"/>
      </w:r>
      <w:r>
        <w:instrText xml:space="preserve"> PAGEREF _Toc527030787 \h </w:instrText>
      </w:r>
      <w:r>
        <w:fldChar w:fldCharType="separate"/>
      </w:r>
      <w:r>
        <w:t>9</w:t>
      </w:r>
      <w:r>
        <w:fldChar w:fldCharType="end"/>
      </w:r>
    </w:p>
    <w:p w14:paraId="0A264953" w14:textId="50BC02AD" w:rsidR="004C75DE" w:rsidRDefault="004C75DE">
      <w:pPr>
        <w:pStyle w:val="TOC2"/>
        <w:rPr>
          <w:rFonts w:eastAsiaTheme="minorEastAsia"/>
          <w:color w:val="auto"/>
          <w:lang w:val="en-AU" w:eastAsia="en-AU"/>
        </w:rPr>
      </w:pPr>
      <w:r>
        <w:t>3.1</w:t>
      </w:r>
      <w:r>
        <w:rPr>
          <w:rFonts w:eastAsiaTheme="minorEastAsia"/>
          <w:color w:val="auto"/>
          <w:lang w:val="en-AU" w:eastAsia="en-AU"/>
        </w:rPr>
        <w:tab/>
      </w:r>
      <w:r>
        <w:t>Operational Approaches</w:t>
      </w:r>
      <w:r>
        <w:tab/>
      </w:r>
      <w:r>
        <w:fldChar w:fldCharType="begin"/>
      </w:r>
      <w:r>
        <w:instrText xml:space="preserve"> PAGEREF _Toc527030788 \h </w:instrText>
      </w:r>
      <w:r>
        <w:fldChar w:fldCharType="separate"/>
      </w:r>
      <w:r>
        <w:t>9</w:t>
      </w:r>
      <w:r>
        <w:fldChar w:fldCharType="end"/>
      </w:r>
    </w:p>
    <w:p w14:paraId="79D7AD0C" w14:textId="0E7C85E5" w:rsidR="004C75DE" w:rsidRDefault="004C75DE">
      <w:pPr>
        <w:pStyle w:val="TOC2"/>
        <w:rPr>
          <w:rFonts w:eastAsiaTheme="minorEastAsia"/>
          <w:color w:val="auto"/>
          <w:lang w:val="en-AU" w:eastAsia="en-AU"/>
        </w:rPr>
      </w:pPr>
      <w:r>
        <w:t>3.2</w:t>
      </w:r>
      <w:r>
        <w:rPr>
          <w:rFonts w:eastAsiaTheme="minorEastAsia"/>
          <w:color w:val="auto"/>
          <w:lang w:val="en-AU" w:eastAsia="en-AU"/>
        </w:rPr>
        <w:tab/>
      </w:r>
      <w:r>
        <w:t>Short term Technical Approaches</w:t>
      </w:r>
      <w:r>
        <w:tab/>
      </w:r>
      <w:r>
        <w:fldChar w:fldCharType="begin"/>
      </w:r>
      <w:r>
        <w:instrText xml:space="preserve"> PAGEREF _Toc527030789 \h </w:instrText>
      </w:r>
      <w:r>
        <w:fldChar w:fldCharType="separate"/>
      </w:r>
      <w:r>
        <w:t>9</w:t>
      </w:r>
      <w:r>
        <w:fldChar w:fldCharType="end"/>
      </w:r>
    </w:p>
    <w:p w14:paraId="62169287" w14:textId="175CEC3B" w:rsidR="004C75DE" w:rsidRDefault="004C75DE">
      <w:pPr>
        <w:pStyle w:val="TOC2"/>
        <w:rPr>
          <w:rFonts w:eastAsiaTheme="minorEastAsia"/>
          <w:color w:val="auto"/>
          <w:lang w:val="en-AU" w:eastAsia="en-AU"/>
        </w:rPr>
      </w:pPr>
      <w:r>
        <w:t>3.3</w:t>
      </w:r>
      <w:r>
        <w:rPr>
          <w:rFonts w:eastAsiaTheme="minorEastAsia"/>
          <w:color w:val="auto"/>
          <w:lang w:val="en-AU" w:eastAsia="en-AU"/>
        </w:rPr>
        <w:tab/>
      </w:r>
      <w:r>
        <w:t>Potential medium and long term technical considerations</w:t>
      </w:r>
      <w:r>
        <w:tab/>
      </w:r>
      <w:r>
        <w:fldChar w:fldCharType="begin"/>
      </w:r>
      <w:r>
        <w:instrText xml:space="preserve"> PAGEREF _Toc527030790 \h </w:instrText>
      </w:r>
      <w:r>
        <w:fldChar w:fldCharType="separate"/>
      </w:r>
      <w:r>
        <w:t>10</w:t>
      </w:r>
      <w:r>
        <w:fldChar w:fldCharType="end"/>
      </w:r>
    </w:p>
    <w:p w14:paraId="170037E9" w14:textId="700BA523" w:rsidR="004C75DE" w:rsidRDefault="004C75DE">
      <w:pPr>
        <w:pStyle w:val="TOC1"/>
        <w:rPr>
          <w:rFonts w:eastAsiaTheme="minorEastAsia"/>
          <w:b w:val="0"/>
          <w:color w:val="auto"/>
          <w:lang w:val="en-AU" w:eastAsia="en-AU"/>
        </w:rPr>
      </w:pPr>
      <w:r w:rsidRPr="001B384F">
        <w:rPr>
          <w:color w:val="009FDF"/>
        </w:rPr>
        <w:t>1</w:t>
      </w:r>
      <w:r>
        <w:rPr>
          <w:rFonts w:eastAsiaTheme="minorEastAsia"/>
          <w:b w:val="0"/>
          <w:color w:val="auto"/>
          <w:lang w:val="en-AU" w:eastAsia="en-AU"/>
        </w:rPr>
        <w:tab/>
      </w:r>
      <w:r>
        <w:t>DEFINITIONS</w:t>
      </w:r>
      <w:r>
        <w:tab/>
      </w:r>
      <w:r>
        <w:fldChar w:fldCharType="begin"/>
      </w:r>
      <w:r>
        <w:instrText xml:space="preserve"> PAGEREF _Toc527030791 \h </w:instrText>
      </w:r>
      <w:r>
        <w:fldChar w:fldCharType="separate"/>
      </w:r>
      <w:r>
        <w:t>10</w:t>
      </w:r>
      <w:r>
        <w:fldChar w:fldCharType="end"/>
      </w:r>
    </w:p>
    <w:p w14:paraId="7E6DAA93" w14:textId="548A35E5" w:rsidR="004C75DE" w:rsidRDefault="004C75DE">
      <w:pPr>
        <w:pStyle w:val="TOC1"/>
        <w:rPr>
          <w:rFonts w:eastAsiaTheme="minorEastAsia"/>
          <w:b w:val="0"/>
          <w:color w:val="auto"/>
          <w:lang w:val="en-AU" w:eastAsia="en-AU"/>
        </w:rPr>
      </w:pPr>
      <w:r w:rsidRPr="001B384F">
        <w:rPr>
          <w:color w:val="009FDF"/>
        </w:rPr>
        <w:t>2</w:t>
      </w:r>
      <w:r>
        <w:rPr>
          <w:rFonts w:eastAsiaTheme="minorEastAsia"/>
          <w:b w:val="0"/>
          <w:color w:val="auto"/>
          <w:lang w:val="en-AU" w:eastAsia="en-AU"/>
        </w:rPr>
        <w:tab/>
      </w:r>
      <w:r>
        <w:t>ACRONYMS</w:t>
      </w:r>
      <w:r>
        <w:tab/>
      </w:r>
      <w:r>
        <w:fldChar w:fldCharType="begin"/>
      </w:r>
      <w:r>
        <w:instrText xml:space="preserve"> PAGEREF _Toc527030792 \h </w:instrText>
      </w:r>
      <w:r>
        <w:fldChar w:fldCharType="separate"/>
      </w:r>
      <w:r>
        <w:t>10</w:t>
      </w:r>
      <w:r>
        <w:fldChar w:fldCharType="end"/>
      </w:r>
    </w:p>
    <w:p w14:paraId="5035CDCD" w14:textId="2E106EB1" w:rsidR="004C75DE" w:rsidRDefault="004C75DE">
      <w:pPr>
        <w:pStyle w:val="TOC1"/>
        <w:rPr>
          <w:rFonts w:eastAsiaTheme="minorEastAsia"/>
          <w:b w:val="0"/>
          <w:color w:val="auto"/>
          <w:lang w:val="en-AU" w:eastAsia="en-AU"/>
        </w:rPr>
      </w:pPr>
      <w:r w:rsidRPr="001B384F">
        <w:rPr>
          <w:color w:val="009FDF"/>
        </w:rPr>
        <w:t>3</w:t>
      </w:r>
      <w:r>
        <w:rPr>
          <w:rFonts w:eastAsiaTheme="minorEastAsia"/>
          <w:b w:val="0"/>
          <w:color w:val="auto"/>
          <w:lang w:val="en-AU" w:eastAsia="en-AU"/>
        </w:rPr>
        <w:tab/>
      </w:r>
      <w:r>
        <w:t>REFERENCES</w:t>
      </w:r>
      <w:r>
        <w:tab/>
      </w:r>
      <w:r>
        <w:fldChar w:fldCharType="begin"/>
      </w:r>
      <w:r>
        <w:instrText xml:space="preserve"> PAGEREF _Toc527030793 \h </w:instrText>
      </w:r>
      <w:r>
        <w:fldChar w:fldCharType="separate"/>
      </w:r>
      <w:r>
        <w:t>10</w:t>
      </w:r>
      <w:r>
        <w:fldChar w:fldCharType="end"/>
      </w:r>
    </w:p>
    <w:p w14:paraId="5FB1FBAD" w14:textId="3CC2E0FA" w:rsidR="00642025" w:rsidRPr="0093492E" w:rsidRDefault="004A4EC4" w:rsidP="00BA5754">
      <w:pPr>
        <w:rPr>
          <w:noProof/>
        </w:rPr>
      </w:pPr>
      <w:r>
        <w:rPr>
          <w:noProof/>
        </w:rPr>
        <w:fldChar w:fldCharType="end"/>
      </w:r>
    </w:p>
    <w:p w14:paraId="4A110233" w14:textId="77777777" w:rsidR="0078486B" w:rsidRDefault="002F265A" w:rsidP="00C9558A">
      <w:pPr>
        <w:pStyle w:val="ListofFigures"/>
      </w:pPr>
      <w:r>
        <w:t>List of Tables</w:t>
      </w:r>
    </w:p>
    <w:p w14:paraId="098E3D04" w14:textId="77777777" w:rsidR="00577542"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577542">
        <w:rPr>
          <w:noProof/>
        </w:rPr>
        <w:t>Table 1</w:t>
      </w:r>
      <w:r w:rsidR="00577542">
        <w:rPr>
          <w:rFonts w:eastAsiaTheme="minorEastAsia"/>
          <w:i w:val="0"/>
          <w:noProof/>
          <w:sz w:val="24"/>
          <w:szCs w:val="24"/>
          <w:lang w:val="en-US"/>
        </w:rPr>
        <w:tab/>
      </w:r>
      <w:r w:rsidR="00577542">
        <w:rPr>
          <w:noProof/>
        </w:rPr>
        <w:t>Example of a table with the significant information in the first column</w:t>
      </w:r>
      <w:r w:rsidR="00577542">
        <w:rPr>
          <w:noProof/>
        </w:rPr>
        <w:tab/>
      </w:r>
      <w:r w:rsidR="00577542">
        <w:rPr>
          <w:noProof/>
        </w:rPr>
        <w:fldChar w:fldCharType="begin"/>
      </w:r>
      <w:r w:rsidR="00577542">
        <w:rPr>
          <w:noProof/>
        </w:rPr>
        <w:instrText xml:space="preserve"> PAGEREF _Toc461528865 \h </w:instrText>
      </w:r>
      <w:r w:rsidR="00577542">
        <w:rPr>
          <w:noProof/>
        </w:rPr>
      </w:r>
      <w:r w:rsidR="00577542">
        <w:rPr>
          <w:noProof/>
        </w:rPr>
        <w:fldChar w:fldCharType="separate"/>
      </w:r>
      <w:r w:rsidR="007C3AB1">
        <w:rPr>
          <w:noProof/>
        </w:rPr>
        <w:t>3</w:t>
      </w:r>
      <w:r w:rsidR="00577542">
        <w:rPr>
          <w:noProof/>
        </w:rPr>
        <w:fldChar w:fldCharType="end"/>
      </w:r>
    </w:p>
    <w:p w14:paraId="30C777CE" w14:textId="77777777" w:rsidR="00577542" w:rsidRDefault="00577542">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Example of a table with the significant information in the first row</w:t>
      </w:r>
      <w:r>
        <w:rPr>
          <w:noProof/>
        </w:rPr>
        <w:tab/>
      </w:r>
      <w:r>
        <w:rPr>
          <w:noProof/>
        </w:rPr>
        <w:fldChar w:fldCharType="begin"/>
      </w:r>
      <w:r>
        <w:rPr>
          <w:noProof/>
        </w:rPr>
        <w:instrText xml:space="preserve"> PAGEREF _Toc461528866 \h </w:instrText>
      </w:r>
      <w:r>
        <w:rPr>
          <w:noProof/>
        </w:rPr>
      </w:r>
      <w:r>
        <w:rPr>
          <w:noProof/>
        </w:rPr>
        <w:fldChar w:fldCharType="separate"/>
      </w:r>
      <w:r w:rsidR="007C3AB1">
        <w:rPr>
          <w:noProof/>
        </w:rPr>
        <w:t>3</w:t>
      </w:r>
      <w:r>
        <w:rPr>
          <w:noProof/>
        </w:rPr>
        <w:fldChar w:fldCharType="end"/>
      </w:r>
    </w:p>
    <w:p w14:paraId="6F4BD9E6" w14:textId="77777777" w:rsidR="00577542" w:rsidRDefault="00577542">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Example of a table with coloured rows</w:t>
      </w:r>
      <w:r>
        <w:rPr>
          <w:noProof/>
        </w:rPr>
        <w:tab/>
      </w:r>
      <w:r>
        <w:rPr>
          <w:noProof/>
        </w:rPr>
        <w:fldChar w:fldCharType="begin"/>
      </w:r>
      <w:r>
        <w:rPr>
          <w:noProof/>
        </w:rPr>
        <w:instrText xml:space="preserve"> PAGEREF _Toc461528867 \h </w:instrText>
      </w:r>
      <w:r>
        <w:rPr>
          <w:noProof/>
        </w:rPr>
      </w:r>
      <w:r>
        <w:rPr>
          <w:noProof/>
        </w:rPr>
        <w:fldChar w:fldCharType="separate"/>
      </w:r>
      <w:r w:rsidR="007C3AB1">
        <w:rPr>
          <w:noProof/>
        </w:rPr>
        <w:t>3</w:t>
      </w:r>
      <w:r>
        <w:rPr>
          <w:noProof/>
        </w:rPr>
        <w:fldChar w:fldCharType="end"/>
      </w:r>
    </w:p>
    <w:p w14:paraId="4BF33202" w14:textId="77777777" w:rsidR="00577542" w:rsidRDefault="00577542">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Example table</w:t>
      </w:r>
      <w:r>
        <w:rPr>
          <w:noProof/>
        </w:rPr>
        <w:tab/>
      </w:r>
      <w:r>
        <w:rPr>
          <w:noProof/>
        </w:rPr>
        <w:fldChar w:fldCharType="begin"/>
      </w:r>
      <w:r>
        <w:rPr>
          <w:noProof/>
        </w:rPr>
        <w:instrText xml:space="preserve"> PAGEREF _Toc461528868 \h </w:instrText>
      </w:r>
      <w:r>
        <w:rPr>
          <w:noProof/>
        </w:rPr>
      </w:r>
      <w:r>
        <w:rPr>
          <w:noProof/>
        </w:rPr>
        <w:fldChar w:fldCharType="separate"/>
      </w:r>
      <w:r w:rsidR="007C3AB1">
        <w:rPr>
          <w:noProof/>
        </w:rPr>
        <w:t>3</w:t>
      </w:r>
      <w:r>
        <w:rPr>
          <w:noProof/>
        </w:rPr>
        <w:fldChar w:fldCharType="end"/>
      </w:r>
    </w:p>
    <w:p w14:paraId="4BD24E78" w14:textId="77777777" w:rsidR="00161325" w:rsidRPr="00C91630" w:rsidRDefault="00923B4D" w:rsidP="00BA5754">
      <w:r>
        <w:fldChar w:fldCharType="end"/>
      </w:r>
    </w:p>
    <w:p w14:paraId="5E191FF8" w14:textId="77777777" w:rsidR="00994D97" w:rsidRDefault="00994D97" w:rsidP="00C9558A">
      <w:pPr>
        <w:pStyle w:val="ListofFigures"/>
      </w:pPr>
      <w:r w:rsidRPr="00441393">
        <w:t>List of Figures</w:t>
      </w:r>
    </w:p>
    <w:p w14:paraId="04EC46C9" w14:textId="77777777" w:rsidR="00577542"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577542">
        <w:rPr>
          <w:noProof/>
        </w:rPr>
        <w:t>Figure 1</w:t>
      </w:r>
      <w:r w:rsidR="00577542">
        <w:rPr>
          <w:rFonts w:eastAsiaTheme="minorEastAsia"/>
          <w:i w:val="0"/>
          <w:noProof/>
          <w:sz w:val="24"/>
          <w:szCs w:val="24"/>
          <w:lang w:val="en-US"/>
        </w:rPr>
        <w:tab/>
      </w:r>
      <w:r w:rsidR="00577542">
        <w:rPr>
          <w:noProof/>
        </w:rPr>
        <w:t>Example figure caption</w:t>
      </w:r>
      <w:r w:rsidR="00577542">
        <w:rPr>
          <w:noProof/>
        </w:rPr>
        <w:tab/>
      </w:r>
      <w:r w:rsidR="00577542">
        <w:rPr>
          <w:noProof/>
        </w:rPr>
        <w:fldChar w:fldCharType="begin"/>
      </w:r>
      <w:r w:rsidR="00577542">
        <w:rPr>
          <w:noProof/>
        </w:rPr>
        <w:instrText xml:space="preserve"> PAGEREF _Toc461528874 \h </w:instrText>
      </w:r>
      <w:r w:rsidR="00577542">
        <w:rPr>
          <w:noProof/>
        </w:rPr>
      </w:r>
      <w:r w:rsidR="00577542">
        <w:rPr>
          <w:noProof/>
        </w:rPr>
        <w:fldChar w:fldCharType="separate"/>
      </w:r>
      <w:r w:rsidR="007C3AB1">
        <w:rPr>
          <w:noProof/>
        </w:rPr>
        <w:t>3</w:t>
      </w:r>
      <w:r w:rsidR="00577542">
        <w:rPr>
          <w:noProof/>
        </w:rPr>
        <w:fldChar w:fldCharType="end"/>
      </w:r>
    </w:p>
    <w:p w14:paraId="776450C0" w14:textId="77777777" w:rsidR="00577542" w:rsidRDefault="00577542">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Another example figure caption</w:t>
      </w:r>
      <w:r>
        <w:rPr>
          <w:noProof/>
        </w:rPr>
        <w:tab/>
      </w:r>
      <w:r>
        <w:rPr>
          <w:noProof/>
        </w:rPr>
        <w:fldChar w:fldCharType="begin"/>
      </w:r>
      <w:r>
        <w:rPr>
          <w:noProof/>
        </w:rPr>
        <w:instrText xml:space="preserve"> PAGEREF _Toc461528875 \h </w:instrText>
      </w:r>
      <w:r>
        <w:rPr>
          <w:noProof/>
        </w:rPr>
      </w:r>
      <w:r>
        <w:rPr>
          <w:noProof/>
        </w:rPr>
        <w:fldChar w:fldCharType="separate"/>
      </w:r>
      <w:r w:rsidR="007C3AB1">
        <w:rPr>
          <w:noProof/>
        </w:rPr>
        <w:t>3</w:t>
      </w:r>
      <w:r>
        <w:rPr>
          <w:noProof/>
        </w:rPr>
        <w:fldChar w:fldCharType="end"/>
      </w:r>
    </w:p>
    <w:p w14:paraId="5E7ADDBE" w14:textId="77777777" w:rsidR="005E4659" w:rsidRDefault="00923B4D" w:rsidP="00BA5754">
      <w:r>
        <w:fldChar w:fldCharType="end"/>
      </w:r>
    </w:p>
    <w:p w14:paraId="2A99B5F0" w14:textId="77777777" w:rsidR="005E4659" w:rsidRDefault="00DA17CD" w:rsidP="00C9558A">
      <w:pPr>
        <w:pStyle w:val="ListofFigures"/>
      </w:pPr>
      <w:r>
        <w:t>List of Equations</w:t>
      </w:r>
    </w:p>
    <w:p w14:paraId="65E591F3" w14:textId="77777777" w:rsidR="00BA5754" w:rsidRDefault="00D638E0">
      <w:pPr>
        <w:pStyle w:val="TableofFigures"/>
        <w:rPr>
          <w:rFonts w:eastAsiaTheme="minorEastAsia"/>
          <w:i w:val="0"/>
          <w:noProof/>
          <w:sz w:val="24"/>
          <w:szCs w:val="24"/>
          <w:lang w:val="en-US"/>
        </w:rPr>
      </w:pPr>
      <w:r>
        <w:fldChar w:fldCharType="begin"/>
      </w:r>
      <w:r>
        <w:instrText xml:space="preserve"> TOC \t "equation" \c "Equation" </w:instrText>
      </w:r>
      <w:r>
        <w:fldChar w:fldCharType="separate"/>
      </w:r>
      <w:r w:rsidR="00BA5754">
        <w:rPr>
          <w:noProof/>
        </w:rPr>
        <w:t>Equation 1</w:t>
      </w:r>
      <w:r w:rsidR="00BA5754">
        <w:rPr>
          <w:rFonts w:eastAsiaTheme="minorEastAsia"/>
          <w:i w:val="0"/>
          <w:noProof/>
          <w:sz w:val="24"/>
          <w:szCs w:val="24"/>
          <w:lang w:val="en-US"/>
        </w:rPr>
        <w:tab/>
      </w:r>
      <w:r w:rsidR="00BA5754">
        <w:rPr>
          <w:noProof/>
        </w:rPr>
        <w:t>Geographical range</w:t>
      </w:r>
      <w:r w:rsidR="00BA5754">
        <w:rPr>
          <w:noProof/>
        </w:rPr>
        <w:tab/>
      </w:r>
      <w:r w:rsidR="00BA5754">
        <w:rPr>
          <w:noProof/>
        </w:rPr>
        <w:fldChar w:fldCharType="begin"/>
      </w:r>
      <w:r w:rsidR="00BA5754">
        <w:rPr>
          <w:noProof/>
        </w:rPr>
        <w:instrText xml:space="preserve"> PAGEREF _Toc454630220 \h </w:instrText>
      </w:r>
      <w:r w:rsidR="00BA5754">
        <w:rPr>
          <w:noProof/>
        </w:rPr>
      </w:r>
      <w:r w:rsidR="00BA5754">
        <w:rPr>
          <w:noProof/>
        </w:rPr>
        <w:fldChar w:fldCharType="separate"/>
      </w:r>
      <w:r w:rsidR="007C3AB1">
        <w:rPr>
          <w:noProof/>
        </w:rPr>
        <w:t>3</w:t>
      </w:r>
      <w:r w:rsidR="00BA5754">
        <w:rPr>
          <w:noProof/>
        </w:rPr>
        <w:fldChar w:fldCharType="end"/>
      </w:r>
    </w:p>
    <w:p w14:paraId="331D0858" w14:textId="77777777" w:rsidR="00BA5754" w:rsidRDefault="00BA5754">
      <w:pPr>
        <w:pStyle w:val="TableofFigures"/>
        <w:rPr>
          <w:rFonts w:eastAsiaTheme="minorEastAsia"/>
          <w:i w:val="0"/>
          <w:noProof/>
          <w:sz w:val="24"/>
          <w:szCs w:val="24"/>
          <w:lang w:val="en-US"/>
        </w:rPr>
      </w:pPr>
      <w:r>
        <w:rPr>
          <w:noProof/>
        </w:rPr>
        <w:t>Equation 2</w:t>
      </w:r>
      <w:r>
        <w:rPr>
          <w:rFonts w:eastAsiaTheme="minorEastAsia"/>
          <w:i w:val="0"/>
          <w:noProof/>
          <w:sz w:val="24"/>
          <w:szCs w:val="24"/>
          <w:lang w:val="en-US"/>
        </w:rPr>
        <w:tab/>
      </w:r>
      <w:r>
        <w:rPr>
          <w:noProof/>
        </w:rPr>
        <w:t>Theory of Special Relativity</w:t>
      </w:r>
      <w:r>
        <w:rPr>
          <w:noProof/>
        </w:rPr>
        <w:tab/>
      </w:r>
      <w:r>
        <w:rPr>
          <w:noProof/>
        </w:rPr>
        <w:fldChar w:fldCharType="begin"/>
      </w:r>
      <w:r>
        <w:rPr>
          <w:noProof/>
        </w:rPr>
        <w:instrText xml:space="preserve"> PAGEREF _Toc454630221 \h </w:instrText>
      </w:r>
      <w:r>
        <w:rPr>
          <w:noProof/>
        </w:rPr>
      </w:r>
      <w:r>
        <w:rPr>
          <w:noProof/>
        </w:rPr>
        <w:fldChar w:fldCharType="separate"/>
      </w:r>
      <w:r w:rsidR="007C3AB1">
        <w:rPr>
          <w:noProof/>
        </w:rPr>
        <w:t>3</w:t>
      </w:r>
      <w:r>
        <w:rPr>
          <w:noProof/>
        </w:rPr>
        <w:fldChar w:fldCharType="end"/>
      </w:r>
    </w:p>
    <w:p w14:paraId="7BD5F57A" w14:textId="77777777" w:rsidR="00B07717" w:rsidRPr="00161325" w:rsidRDefault="00D638E0" w:rsidP="007D1805">
      <w:pPr>
        <w:pStyle w:val="TableofFigures"/>
      </w:pPr>
      <w:r>
        <w:fldChar w:fldCharType="end"/>
      </w:r>
    </w:p>
    <w:p w14:paraId="5A373D88" w14:textId="77777777" w:rsidR="00790277" w:rsidRPr="0078486B" w:rsidRDefault="00790277" w:rsidP="003274DB">
      <w:pPr>
        <w:rPr>
          <w:lang w:val="fr-FR"/>
        </w:rPr>
        <w:sectPr w:rsidR="00790277" w:rsidRPr="0078486B" w:rsidSect="00C716E5">
          <w:headerReference w:type="even" r:id="rId19"/>
          <w:headerReference w:type="default" r:id="rId20"/>
          <w:headerReference w:type="first" r:id="rId21"/>
          <w:footerReference w:type="first" r:id="rId22"/>
          <w:pgSz w:w="11906" w:h="16838" w:code="9"/>
          <w:pgMar w:top="567" w:right="794" w:bottom="567" w:left="907" w:header="850" w:footer="567" w:gutter="0"/>
          <w:cols w:space="708"/>
          <w:titlePg/>
          <w:docGrid w:linePitch="360"/>
        </w:sectPr>
      </w:pPr>
    </w:p>
    <w:p w14:paraId="355C57D1" w14:textId="77777777" w:rsidR="004C75DE" w:rsidRDefault="004C75DE" w:rsidP="004C75DE">
      <w:pPr>
        <w:pStyle w:val="Heading1"/>
        <w:tabs>
          <w:tab w:val="num" w:pos="0"/>
        </w:tabs>
        <w:ind w:left="709" w:hanging="709"/>
      </w:pPr>
      <w:bookmarkStart w:id="2" w:name="_Toc527022334"/>
      <w:bookmarkStart w:id="3" w:name="_Toc527030778"/>
      <w:r>
        <w:lastRenderedPageBreak/>
        <w:t>Background</w:t>
      </w:r>
      <w:bookmarkEnd w:id="2"/>
      <w:bookmarkEnd w:id="3"/>
    </w:p>
    <w:p w14:paraId="32A1AAAB" w14:textId="77777777" w:rsidR="004C75DE" w:rsidRDefault="004C75DE" w:rsidP="004C75DE">
      <w:pPr>
        <w:pStyle w:val="Heading1separatationline"/>
      </w:pPr>
    </w:p>
    <w:p w14:paraId="7F1D2F5E" w14:textId="77777777" w:rsidR="004C75DE" w:rsidRDefault="004C75DE" w:rsidP="004C75DE">
      <w:pPr>
        <w:pStyle w:val="BodyText"/>
      </w:pPr>
      <w:r w:rsidRPr="003D3B63">
        <w:t>AIS is an autonomous and continuous broadcast system, operating in the VHF</w:t>
      </w:r>
      <w:r>
        <w:t xml:space="preserve"> </w:t>
      </w:r>
      <w:r w:rsidRPr="003D3B63">
        <w:t>maritime mobile band.</w:t>
      </w:r>
      <w:r>
        <w:t xml:space="preserve"> </w:t>
      </w:r>
      <w:r w:rsidRPr="003D3B63">
        <w:t>AIS can handle multiple reports at rapid update rates and uses Self-Organising Time</w:t>
      </w:r>
      <w:r>
        <w:t xml:space="preserve"> </w:t>
      </w:r>
      <w:r w:rsidRPr="003D3B63">
        <w:t>Division Multiple Access (SOTDMA)</w:t>
      </w:r>
      <w:r>
        <w:t xml:space="preserve"> </w:t>
      </w:r>
      <w:r w:rsidRPr="003D3B63">
        <w:t>technology to meet these high broadcast rates,</w:t>
      </w:r>
      <w:r>
        <w:t xml:space="preserve"> </w:t>
      </w:r>
      <w:r w:rsidRPr="003D3B63">
        <w:t>ensuring reliable and robust operation.</w:t>
      </w:r>
      <w:r w:rsidRPr="00E62A64">
        <w:t xml:space="preserve"> </w:t>
      </w:r>
      <w:r>
        <w:t xml:space="preserve">AIS is a global system and is used by ship, shore and satellite systems. </w:t>
      </w:r>
    </w:p>
    <w:p w14:paraId="1DAF33C5" w14:textId="77777777" w:rsidR="004C75DE" w:rsidRDefault="004C75DE" w:rsidP="004C75DE">
      <w:pPr>
        <w:autoSpaceDE w:val="0"/>
        <w:autoSpaceDN w:val="0"/>
        <w:adjustRightInd w:val="0"/>
        <w:spacing w:line="240" w:lineRule="auto"/>
        <w:rPr>
          <w:sz w:val="22"/>
        </w:rPr>
      </w:pPr>
    </w:p>
    <w:p w14:paraId="6561C18A" w14:textId="77777777" w:rsidR="004C75DE" w:rsidRDefault="004C75DE" w:rsidP="004C75DE">
      <w:pPr>
        <w:autoSpaceDE w:val="0"/>
        <w:autoSpaceDN w:val="0"/>
        <w:adjustRightInd w:val="0"/>
        <w:spacing w:line="240" w:lineRule="auto"/>
        <w:rPr>
          <w:sz w:val="22"/>
        </w:rPr>
      </w:pPr>
      <w:r w:rsidRPr="003D3B63">
        <w:rPr>
          <w:sz w:val="22"/>
        </w:rPr>
        <w:t>AIS allows automatic exchange of shipboard information from the vessel’s sensors,</w:t>
      </w:r>
      <w:r>
        <w:rPr>
          <w:sz w:val="22"/>
        </w:rPr>
        <w:t xml:space="preserve"> </w:t>
      </w:r>
      <w:r w:rsidRPr="003D3B63">
        <w:rPr>
          <w:sz w:val="22"/>
        </w:rPr>
        <w:t>including static and voyage related data</w:t>
      </w:r>
      <w:r>
        <w:rPr>
          <w:sz w:val="22"/>
        </w:rPr>
        <w:t>,</w:t>
      </w:r>
      <w:r w:rsidRPr="003D3B63">
        <w:rPr>
          <w:sz w:val="22"/>
        </w:rPr>
        <w:t xml:space="preserve"> between one vessel and another and</w:t>
      </w:r>
      <w:r>
        <w:rPr>
          <w:sz w:val="22"/>
        </w:rPr>
        <w:t xml:space="preserve"> </w:t>
      </w:r>
      <w:r w:rsidRPr="003D3B63">
        <w:rPr>
          <w:sz w:val="22"/>
        </w:rPr>
        <w:t>between a vessel and a shore station(s).</w:t>
      </w:r>
      <w:r>
        <w:rPr>
          <w:sz w:val="22"/>
        </w:rPr>
        <w:t xml:space="preserve"> </w:t>
      </w:r>
      <w:r w:rsidRPr="003D3B63">
        <w:rPr>
          <w:sz w:val="22"/>
        </w:rPr>
        <w:t>Its principal functions are to facilitate:</w:t>
      </w:r>
    </w:p>
    <w:p w14:paraId="724AB514" w14:textId="77777777" w:rsidR="004C75DE" w:rsidRDefault="004C75DE" w:rsidP="004C75DE">
      <w:pPr>
        <w:autoSpaceDE w:val="0"/>
        <w:autoSpaceDN w:val="0"/>
        <w:adjustRightInd w:val="0"/>
        <w:spacing w:line="240" w:lineRule="auto"/>
        <w:rPr>
          <w:sz w:val="22"/>
        </w:rPr>
      </w:pPr>
    </w:p>
    <w:p w14:paraId="3711BA53" w14:textId="77777777" w:rsidR="004C75DE" w:rsidRDefault="004C75DE" w:rsidP="00F332A3">
      <w:pPr>
        <w:pStyle w:val="ListParagraph"/>
        <w:numPr>
          <w:ilvl w:val="0"/>
          <w:numId w:val="36"/>
        </w:numPr>
        <w:autoSpaceDE w:val="0"/>
        <w:autoSpaceDN w:val="0"/>
        <w:adjustRightInd w:val="0"/>
        <w:spacing w:after="200"/>
      </w:pPr>
      <w:r>
        <w:t>Information exchange between vessels within VHF range of each other, increasing situational awareness.</w:t>
      </w:r>
    </w:p>
    <w:p w14:paraId="3E25D7F2" w14:textId="77777777" w:rsidR="004C75DE" w:rsidRDefault="004C75DE" w:rsidP="00F332A3">
      <w:pPr>
        <w:pStyle w:val="ListParagraph"/>
        <w:numPr>
          <w:ilvl w:val="0"/>
          <w:numId w:val="36"/>
        </w:numPr>
        <w:autoSpaceDE w:val="0"/>
        <w:autoSpaceDN w:val="0"/>
        <w:adjustRightInd w:val="0"/>
        <w:spacing w:after="200"/>
      </w:pPr>
      <w:r>
        <w:t>Information exchange between a vessel and a shore station, such as a VTS, to improve traffic management in congested waterways.</w:t>
      </w:r>
    </w:p>
    <w:p w14:paraId="4CDA37EE" w14:textId="77777777" w:rsidR="004C75DE" w:rsidRDefault="004C75DE" w:rsidP="00F332A3">
      <w:pPr>
        <w:pStyle w:val="ListParagraph"/>
        <w:numPr>
          <w:ilvl w:val="0"/>
          <w:numId w:val="36"/>
        </w:numPr>
        <w:autoSpaceDE w:val="0"/>
        <w:autoSpaceDN w:val="0"/>
        <w:adjustRightInd w:val="0"/>
        <w:spacing w:after="200"/>
      </w:pPr>
      <w:r>
        <w:t>Automatic reporting in areas of mandatory and voluntary reporting</w:t>
      </w:r>
    </w:p>
    <w:p w14:paraId="6AA07735" w14:textId="77777777" w:rsidR="004C75DE" w:rsidRPr="00814E95" w:rsidRDefault="004C75DE" w:rsidP="00F332A3">
      <w:pPr>
        <w:pStyle w:val="ListParagraph"/>
        <w:numPr>
          <w:ilvl w:val="0"/>
          <w:numId w:val="35"/>
        </w:numPr>
        <w:spacing w:after="200" w:line="276" w:lineRule="auto"/>
      </w:pPr>
      <w:r>
        <w:t>Exchange of safety related information between vessels, and between vessels and shore station(s).</w:t>
      </w:r>
    </w:p>
    <w:p w14:paraId="290A0C9D" w14:textId="77777777" w:rsidR="004C75DE" w:rsidRPr="003D3B63" w:rsidRDefault="004C75DE" w:rsidP="004C75DE">
      <w:pPr>
        <w:rPr>
          <w:sz w:val="22"/>
        </w:rPr>
      </w:pPr>
      <w:r w:rsidRPr="003D3B63">
        <w:rPr>
          <w:sz w:val="22"/>
        </w:rPr>
        <w:t xml:space="preserve">Coastal authorities have noticed a significant increase in the use of non-standard AIS devices on AIS1 and AIS2. </w:t>
      </w:r>
    </w:p>
    <w:p w14:paraId="0192AD25" w14:textId="77777777" w:rsidR="004C75DE" w:rsidRDefault="004C75DE" w:rsidP="004C75DE">
      <w:pPr>
        <w:pStyle w:val="BodyText"/>
      </w:pPr>
    </w:p>
    <w:p w14:paraId="73090A34" w14:textId="77777777" w:rsidR="004C75DE" w:rsidRDefault="004C75DE" w:rsidP="004C75DE">
      <w:pPr>
        <w:pStyle w:val="BodyText"/>
      </w:pPr>
      <w:r>
        <w:t xml:space="preserve">Recognising the proliferation of non-standard AIS devices transmitting on AIS1 and AIS2, the WRC-15 to identified a need to study the issue and developed resolution </w:t>
      </w:r>
      <w:proofErr w:type="gramStart"/>
      <w:r>
        <w:t>362  :</w:t>
      </w:r>
      <w:proofErr w:type="gramEnd"/>
      <w:r>
        <w:t xml:space="preserve"> </w:t>
      </w:r>
    </w:p>
    <w:p w14:paraId="3CD95BB6" w14:textId="77777777" w:rsidR="004C75DE" w:rsidRPr="00BE7D31" w:rsidRDefault="004C75DE" w:rsidP="004C75DE">
      <w:pPr>
        <w:pStyle w:val="BodyText"/>
        <w:ind w:left="708"/>
        <w:rPr>
          <w:i/>
        </w:rPr>
      </w:pPr>
      <w:r w:rsidRPr="00BE7D31">
        <w:rPr>
          <w:i/>
        </w:rPr>
        <w:t xml:space="preserve">Maritime radio devices which operate autonomously in the maritime environment, including but not limited to: devices on towed unpowered ships and barges, derelict ships, floating ice and wave-gliders, “man overboard” devices, diver locating, alerting and radiotelephony devices, fishing net marker buoys, oil spill tracking buoys, oceanographic and other drifting buoys. </w:t>
      </w:r>
    </w:p>
    <w:p w14:paraId="79A02D01" w14:textId="77777777" w:rsidR="004C75DE" w:rsidRDefault="004C75DE" w:rsidP="004C75DE">
      <w:pPr>
        <w:pStyle w:val="BodyText"/>
      </w:pPr>
      <w:r>
        <w:t>Within the Resolution it was further noted that:</w:t>
      </w:r>
    </w:p>
    <w:p w14:paraId="10EB820B" w14:textId="77777777" w:rsidR="004C75DE" w:rsidRDefault="004C75DE" w:rsidP="004C75DE">
      <w:pPr>
        <w:pStyle w:val="BodyText"/>
        <w:ind w:left="708"/>
      </w:pPr>
      <w:r w:rsidRPr="00BE7D31">
        <w:rPr>
          <w:i/>
        </w:rPr>
        <w:t>Such autonomous maritime radio devices are operating with automatic identification system (AIS) technology or digital selective calling (DSC) technology, or transmitting synthetic voice messages, or with a combination of those technologies, and have been developed for safety-related purposes, and their number is expected to increase</w:t>
      </w:r>
      <w:r>
        <w:t>.</w:t>
      </w:r>
    </w:p>
    <w:p w14:paraId="35E88B15" w14:textId="77777777" w:rsidR="004C75DE" w:rsidRDefault="004C75DE" w:rsidP="004C75DE">
      <w:pPr>
        <w:pStyle w:val="BodyText"/>
      </w:pPr>
      <w:r>
        <w:t xml:space="preserve">AMRD use a range of technologies and are used for a wide range of applications including the tracking of fishing nets, </w:t>
      </w:r>
      <w:r>
        <w:rPr>
          <w:lang w:eastAsia="zh-CN"/>
        </w:rPr>
        <w:t>Unmanned Maritime Systems (UMS) also known as ‘drones’</w:t>
      </w:r>
      <w:r>
        <w:t xml:space="preserve"> and Fish Aggregation Devices (FAD) and the tracking of artisanal fishing craft. The technologies used are not limited to AIS, although this recommendation focuses </w:t>
      </w:r>
      <w:proofErr w:type="gramStart"/>
      <w:r>
        <w:t>on  AMRD</w:t>
      </w:r>
      <w:proofErr w:type="gramEnd"/>
      <w:r>
        <w:t xml:space="preserve"> that use AIS technology (AIS-AMRD). The   term AIS-AMRD is introduced to acknowledge the difference between AMRD that use AIS and AMRD that do not use AIS technology.  </w:t>
      </w:r>
    </w:p>
    <w:p w14:paraId="352C691D" w14:textId="77777777" w:rsidR="004C75DE" w:rsidRPr="007D3303" w:rsidRDefault="004C75DE" w:rsidP="004C75DE">
      <w:pPr>
        <w:pStyle w:val="BodyText"/>
      </w:pPr>
      <w:r w:rsidRPr="007D3303">
        <w:t>An AMRD is a mobile station; operating at sea and transmitting independently of a ship station or a coast station. Two groups of AMRDs are identified (ITU document 5B/411-E November 2017):</w:t>
      </w:r>
    </w:p>
    <w:p w14:paraId="03C95821" w14:textId="77777777" w:rsidR="004C75DE" w:rsidRDefault="004C75DE" w:rsidP="00F332A3">
      <w:pPr>
        <w:pStyle w:val="BodyText"/>
        <w:numPr>
          <w:ilvl w:val="0"/>
          <w:numId w:val="37"/>
        </w:numPr>
      </w:pPr>
      <w:r>
        <w:t>Group A: AMRDs that enhance the safety of navigation,</w:t>
      </w:r>
    </w:p>
    <w:p w14:paraId="5E468E41" w14:textId="77777777" w:rsidR="004C75DE" w:rsidRDefault="004C75DE" w:rsidP="00F332A3">
      <w:pPr>
        <w:pStyle w:val="BodyText"/>
        <w:numPr>
          <w:ilvl w:val="0"/>
          <w:numId w:val="37"/>
        </w:numPr>
      </w:pPr>
      <w:r>
        <w:t>Group B: AMRDs that do not enhance the safety of navigation (AMRDs which deliver signals or information which do not concern the vessel can distract or mislead the navigator and degrade the safety of navigation).</w:t>
      </w:r>
    </w:p>
    <w:p w14:paraId="53CC2A28" w14:textId="77777777" w:rsidR="004C75DE" w:rsidRDefault="004C75DE" w:rsidP="004C75DE">
      <w:pPr>
        <w:pStyle w:val="BodyText"/>
      </w:pPr>
      <w:r>
        <w:t xml:space="preserve">AIS-AMRD that are non-compliant to ITU-R M.1371 </w:t>
      </w:r>
      <w:r w:rsidRPr="00D75419">
        <w:t>are the most problematic, causing either random or periodic interference to the primary AIS users, lowering the overall traffic/vessel capacity of the channels and the reliability of the</w:t>
      </w:r>
      <w:r>
        <w:t xml:space="preserve"> local AIS domain.</w:t>
      </w:r>
    </w:p>
    <w:p w14:paraId="5A7A1280" w14:textId="77777777" w:rsidR="004C75DE" w:rsidRDefault="004C75DE" w:rsidP="004C75DE">
      <w:pPr>
        <w:pStyle w:val="BodyText"/>
      </w:pPr>
      <w:r>
        <w:lastRenderedPageBreak/>
        <w:t xml:space="preserve">There are related definitions to consider: </w:t>
      </w:r>
    </w:p>
    <w:p w14:paraId="1824ADC4" w14:textId="77777777" w:rsidR="004C75DE" w:rsidRPr="007D3303" w:rsidRDefault="004C75DE" w:rsidP="004C75DE">
      <w:pPr>
        <w:pStyle w:val="BodyText"/>
      </w:pPr>
      <w:r w:rsidRPr="007D3303">
        <w:t>An AtoN is a device, system or service, external to vessels, designed and operated to enhance safe and efficient navigation of individual vessels and/or vessel traffic. (IALA Dictionary)</w:t>
      </w:r>
    </w:p>
    <w:p w14:paraId="38FD2285" w14:textId="77777777" w:rsidR="004C75DE" w:rsidRPr="007D3303" w:rsidRDefault="004C75DE" w:rsidP="004C75DE">
      <w:pPr>
        <w:pStyle w:val="BodyText"/>
      </w:pPr>
      <w:r w:rsidRPr="007D3303">
        <w:t>A MAtoN shall be defined as a non‐fixed or un‐moored AtoN; but does not include a fixed or moored buoy that is adrift from station, temporary or otherwise. (IALA R1016)</w:t>
      </w:r>
    </w:p>
    <w:p w14:paraId="62221903" w14:textId="77777777" w:rsidR="004C75DE" w:rsidRPr="007D3303" w:rsidRDefault="004C75DE" w:rsidP="004C75DE">
      <w:pPr>
        <w:pStyle w:val="BodyText"/>
      </w:pPr>
      <w:r w:rsidRPr="007D3303">
        <w:t>The term “</w:t>
      </w:r>
      <w:bookmarkStart w:id="4" w:name="_Hlk526948257"/>
      <w:r w:rsidRPr="007D3303">
        <w:t xml:space="preserve">enhance safety of navigation” </w:t>
      </w:r>
      <w:bookmarkEnd w:id="4"/>
      <w:r w:rsidRPr="007D3303">
        <w:t xml:space="preserve">is derived from the International Convention for the Safety of Life at Sea (SOLAS), as amended. Within SOLAS, Chapter V is titled “Safety of navigation” and contains all relevant regulations. Any signal or information originated by </w:t>
      </w:r>
      <w:proofErr w:type="gramStart"/>
      <w:r w:rsidRPr="007D3303">
        <w:t>an</w:t>
      </w:r>
      <w:proofErr w:type="gramEnd"/>
      <w:r w:rsidRPr="007D3303">
        <w:t xml:space="preserve"> device, which reaches the navigator, may influence the safety of navigation. This includes AIS (signals should be shown on Radar and eventually also on the electronic display and information system) and VHF (working channels and Ch. 70). In any case the navigator has to decide how to proceed. In a positive case the safety of navigation will be enhanced. The term “safety of navigation” is used in SOLAS and other IMO documents, however there is no definition existing. The regulations listed in SOLAS Chapter V are relevant to achieve safety of navigation.</w:t>
      </w:r>
    </w:p>
    <w:p w14:paraId="7C097F1A" w14:textId="77777777" w:rsidR="004C75DE" w:rsidRDefault="004C75DE" w:rsidP="004C75DE">
      <w:pPr>
        <w:pStyle w:val="Heading1"/>
        <w:tabs>
          <w:tab w:val="num" w:pos="0"/>
        </w:tabs>
        <w:ind w:left="709" w:hanging="709"/>
      </w:pPr>
      <w:bookmarkStart w:id="5" w:name="_Toc527022335"/>
      <w:bookmarkStart w:id="6" w:name="_Toc527030779"/>
      <w:r>
        <w:t>INTRODUCTION</w:t>
      </w:r>
      <w:bookmarkEnd w:id="5"/>
      <w:bookmarkEnd w:id="6"/>
    </w:p>
    <w:p w14:paraId="135DEFED" w14:textId="77777777" w:rsidR="004C75DE" w:rsidRDefault="004C75DE" w:rsidP="004C75DE">
      <w:pPr>
        <w:pStyle w:val="Heading1separatationline"/>
      </w:pPr>
    </w:p>
    <w:p w14:paraId="15CA04BB" w14:textId="77777777" w:rsidR="004C75DE" w:rsidRPr="0050150D" w:rsidRDefault="004C75DE" w:rsidP="004C75DE">
      <w:pPr>
        <w:pStyle w:val="Heading2"/>
        <w:spacing w:before="200" w:after="0" w:line="276" w:lineRule="auto"/>
        <w:ind w:left="576" w:right="0" w:hanging="576"/>
      </w:pPr>
      <w:bookmarkStart w:id="7" w:name="_Toc527022336"/>
      <w:bookmarkStart w:id="8" w:name="_Toc527030780"/>
      <w:r w:rsidRPr="0050150D">
        <w:t>The appeal of AIS frequencies</w:t>
      </w:r>
      <w:r>
        <w:t xml:space="preserve"> and technology</w:t>
      </w:r>
      <w:bookmarkEnd w:id="7"/>
      <w:bookmarkEnd w:id="8"/>
    </w:p>
    <w:p w14:paraId="0224452A" w14:textId="77777777" w:rsidR="004C75DE" w:rsidRDefault="004C75DE" w:rsidP="004C75DE">
      <w:pPr>
        <w:pStyle w:val="BodyText"/>
        <w:rPr>
          <w:lang w:eastAsia="zh-CN"/>
        </w:rPr>
      </w:pPr>
      <w:r>
        <w:rPr>
          <w:lang w:eastAsia="zh-CN"/>
        </w:rPr>
        <w:t>AIS frequencies were allocated for the primary purpose of safety of navigation. The availability of low cost AIS units and components that enable the design and construction of AMRD has led to the proliferation of AMRD that use both AIS frequencies and components of the AIS protocol. Uses include the tracking of fishing gear and UMS.</w:t>
      </w:r>
    </w:p>
    <w:p w14:paraId="447E1DD2" w14:textId="77777777" w:rsidR="004C75DE" w:rsidRDefault="004C75DE" w:rsidP="004C75DE">
      <w:pPr>
        <w:pStyle w:val="BodyText"/>
        <w:rPr>
          <w:lang w:eastAsia="zh-CN"/>
        </w:rPr>
      </w:pPr>
      <w:r>
        <w:rPr>
          <w:lang w:eastAsia="zh-CN"/>
        </w:rPr>
        <w:t>For UMS, the appeal of AIS is also based on the combination of cost and usefulness. AIS allows the UMS to report their position not only to their owners, but also to others in the vicinity so they can be aware of their presence and avoid any collisions. Some more advanced UMSs are equipped with an autopilot feature that also uses AIS to assist in navigation through ship traffic. AIS binary message capability allows UMS operators to establish basic communications and monitoring links with the device. These messages can also provide a failover communication mechanism to retrieve the unit in case of failure of the main communications link.</w:t>
      </w:r>
    </w:p>
    <w:p w14:paraId="354AD8A9" w14:textId="77777777" w:rsidR="004C75DE" w:rsidRDefault="004C75DE" w:rsidP="004C75DE">
      <w:pPr>
        <w:pStyle w:val="BodyText"/>
        <w:rPr>
          <w:lang w:eastAsia="zh-CN"/>
        </w:rPr>
      </w:pPr>
      <w:r>
        <w:rPr>
          <w:lang w:eastAsia="zh-CN"/>
        </w:rPr>
        <w:t>The VHF Data Exchange Systems (VDES), as specified in ITU-R M. 2092, offers alternative modulation schemes, frequencies and mechanisms for maritime data communications in the maritime VHF band.  As of 2018 these are not yet in wide spread use.</w:t>
      </w:r>
    </w:p>
    <w:p w14:paraId="13668DEF" w14:textId="77777777" w:rsidR="004C75DE" w:rsidRDefault="004C75DE" w:rsidP="004C75DE">
      <w:pPr>
        <w:pStyle w:val="Heading2"/>
        <w:spacing w:before="200" w:after="0" w:line="276" w:lineRule="auto"/>
        <w:ind w:left="576" w:right="0" w:hanging="576"/>
      </w:pPr>
      <w:bookmarkStart w:id="9" w:name="_Toc504902617"/>
      <w:bookmarkStart w:id="10" w:name="_Toc504903160"/>
      <w:bookmarkStart w:id="11" w:name="_Toc504903773"/>
      <w:bookmarkStart w:id="12" w:name="_Toc527022337"/>
      <w:bookmarkStart w:id="13" w:name="_Toc527030781"/>
      <w:bookmarkEnd w:id="9"/>
      <w:bookmarkEnd w:id="10"/>
      <w:bookmarkEnd w:id="11"/>
      <w:r w:rsidRPr="00C0317C">
        <w:t xml:space="preserve">The risks of </w:t>
      </w:r>
      <w:r>
        <w:t>AIS-AMRD</w:t>
      </w:r>
      <w:r w:rsidRPr="00C0317C">
        <w:t xml:space="preserve"> for mariners</w:t>
      </w:r>
      <w:bookmarkEnd w:id="12"/>
      <w:bookmarkEnd w:id="13"/>
    </w:p>
    <w:p w14:paraId="605FC8B0" w14:textId="77777777" w:rsidR="004C75DE" w:rsidRPr="00761256" w:rsidRDefault="004C75DE" w:rsidP="004C75DE">
      <w:pPr>
        <w:pStyle w:val="Heading2separationline"/>
      </w:pPr>
    </w:p>
    <w:p w14:paraId="55A2F0FC" w14:textId="77777777" w:rsidR="004C75DE" w:rsidRDefault="004C75DE" w:rsidP="004C75DE">
      <w:pPr>
        <w:pStyle w:val="BodyText"/>
        <w:rPr>
          <w:lang w:eastAsia="zh-CN"/>
        </w:rPr>
      </w:pPr>
      <w:r>
        <w:rPr>
          <w:lang w:eastAsia="zh-CN"/>
        </w:rPr>
        <w:t>The proliferation of AIS-AMRD can pose a risk to mariners primarily due to:</w:t>
      </w:r>
    </w:p>
    <w:p w14:paraId="6703E6B6" w14:textId="77777777" w:rsidR="004C75DE" w:rsidRDefault="004C75DE" w:rsidP="00F332A3">
      <w:pPr>
        <w:pStyle w:val="BodyText"/>
        <w:numPr>
          <w:ilvl w:val="0"/>
          <w:numId w:val="38"/>
        </w:numPr>
        <w:rPr>
          <w:lang w:eastAsia="zh-CN"/>
        </w:rPr>
      </w:pPr>
      <w:r>
        <w:rPr>
          <w:lang w:eastAsia="zh-CN"/>
        </w:rPr>
        <w:t>Overloading of the AIS channels</w:t>
      </w:r>
    </w:p>
    <w:p w14:paraId="1BB6B4ED" w14:textId="77777777" w:rsidR="004C75DE" w:rsidRDefault="004C75DE" w:rsidP="00F332A3">
      <w:pPr>
        <w:pStyle w:val="BodyText"/>
        <w:numPr>
          <w:ilvl w:val="0"/>
          <w:numId w:val="38"/>
        </w:numPr>
        <w:rPr>
          <w:lang w:eastAsia="zh-CN"/>
        </w:rPr>
      </w:pPr>
      <w:r>
        <w:rPr>
          <w:lang w:eastAsia="zh-CN"/>
        </w:rPr>
        <w:t>AIS-AMRD appearing as Class B devices</w:t>
      </w:r>
    </w:p>
    <w:p w14:paraId="4B47B5A6" w14:textId="77777777" w:rsidR="004C75DE" w:rsidRDefault="004C75DE" w:rsidP="00F332A3">
      <w:pPr>
        <w:pStyle w:val="BodyText"/>
        <w:numPr>
          <w:ilvl w:val="0"/>
          <w:numId w:val="38"/>
        </w:numPr>
        <w:rPr>
          <w:lang w:eastAsia="zh-CN"/>
        </w:rPr>
      </w:pPr>
      <w:r>
        <w:rPr>
          <w:lang w:eastAsia="zh-CN"/>
        </w:rPr>
        <w:t>AIS-AMRD not meeting the required technical and test specifications</w:t>
      </w:r>
    </w:p>
    <w:p w14:paraId="19107B12" w14:textId="77777777" w:rsidR="004C75DE" w:rsidRDefault="004C75DE" w:rsidP="00F332A3">
      <w:pPr>
        <w:pStyle w:val="BodyText"/>
        <w:numPr>
          <w:ilvl w:val="0"/>
          <w:numId w:val="38"/>
        </w:numPr>
        <w:rPr>
          <w:lang w:eastAsia="zh-CN"/>
        </w:rPr>
      </w:pPr>
      <w:r>
        <w:rPr>
          <w:lang w:eastAsia="zh-CN"/>
        </w:rPr>
        <w:t xml:space="preserve">Overcrowding navigational displays </w:t>
      </w:r>
    </w:p>
    <w:p w14:paraId="284E2C3F" w14:textId="77777777" w:rsidR="004C75DE" w:rsidRDefault="004C75DE" w:rsidP="004C75DE">
      <w:pPr>
        <w:pStyle w:val="Heading3"/>
        <w:tabs>
          <w:tab w:val="num" w:pos="0"/>
        </w:tabs>
        <w:spacing w:before="0" w:after="0"/>
        <w:ind w:left="992" w:right="0" w:hanging="992"/>
      </w:pPr>
      <w:bookmarkStart w:id="14" w:name="_Toc527022338"/>
      <w:bookmarkStart w:id="15" w:name="_Toc527030782"/>
      <w:r>
        <w:t>AIS channel load</w:t>
      </w:r>
      <w:bookmarkEnd w:id="14"/>
      <w:bookmarkEnd w:id="15"/>
    </w:p>
    <w:p w14:paraId="5A042408" w14:textId="77777777" w:rsidR="004C75DE" w:rsidRDefault="004C75DE" w:rsidP="004C75DE">
      <w:pPr>
        <w:pStyle w:val="BodyText"/>
        <w:rPr>
          <w:lang w:eastAsia="zh-CN"/>
        </w:rPr>
      </w:pPr>
      <w:r>
        <w:rPr>
          <w:lang w:eastAsia="zh-CN"/>
        </w:rPr>
        <w:t xml:space="preserve">The number of devices reporting on AIS frequencies could easily exceed hundreds of units within a ship’s AIS coverage range of approximately 30 nautical miles. This overcrowding of the AIS frequencies reduces the number of slots available for ship position reports. While this will not completely inhibit AIS data transmission, this overcrowding will result in reduced AIS coverage range of the ship.  </w:t>
      </w:r>
    </w:p>
    <w:p w14:paraId="6BE73B1E" w14:textId="77777777" w:rsidR="004C75DE" w:rsidRDefault="004C75DE" w:rsidP="004C75DE">
      <w:pPr>
        <w:pStyle w:val="BodyText"/>
      </w:pPr>
      <w:r>
        <w:t>In this situation, any additional AIS traffic will degrade the navigational safety in the following manner</w:t>
      </w:r>
      <w:proofErr w:type="gramStart"/>
      <w:r>
        <w:t>: .</w:t>
      </w:r>
      <w:proofErr w:type="gramEnd"/>
      <w:r>
        <w:t xml:space="preserve">  </w:t>
      </w:r>
    </w:p>
    <w:p w14:paraId="20D3E38A" w14:textId="77777777" w:rsidR="004C75DE" w:rsidRDefault="004C75DE" w:rsidP="00F332A3">
      <w:pPr>
        <w:pStyle w:val="BodyText"/>
        <w:numPr>
          <w:ilvl w:val="0"/>
          <w:numId w:val="34"/>
        </w:numPr>
      </w:pPr>
      <w:r>
        <w:t xml:space="preserve">The </w:t>
      </w:r>
      <w:commentRangeStart w:id="16"/>
      <w:r>
        <w:t xml:space="preserve">CSTDMA devices may not transmit </w:t>
      </w:r>
      <w:commentRangeEnd w:id="16"/>
      <w:r>
        <w:rPr>
          <w:rStyle w:val="CommentReference"/>
        </w:rPr>
        <w:commentReference w:id="16"/>
      </w:r>
      <w:r>
        <w:t xml:space="preserve">their position reports at all due to no empty slots being available.  </w:t>
      </w:r>
    </w:p>
    <w:p w14:paraId="7BCCDF80" w14:textId="77777777" w:rsidR="004C75DE" w:rsidRDefault="004C75DE" w:rsidP="00F332A3">
      <w:pPr>
        <w:pStyle w:val="BodyText"/>
        <w:numPr>
          <w:ilvl w:val="0"/>
          <w:numId w:val="34"/>
        </w:numPr>
      </w:pPr>
      <w:r>
        <w:lastRenderedPageBreak/>
        <w:t xml:space="preserve">The SOTDMA devices reuse occupied slots based on the distance from other AIS devices. This reduces the coverage range.   </w:t>
      </w:r>
    </w:p>
    <w:p w14:paraId="7DA71E71" w14:textId="77777777" w:rsidR="004C75DE" w:rsidRDefault="004C75DE" w:rsidP="004C75DE">
      <w:pPr>
        <w:pStyle w:val="BodyText"/>
      </w:pPr>
      <w:r>
        <w:fldChar w:fldCharType="begin"/>
      </w:r>
      <w:r>
        <w:instrText xml:space="preserve"> REF _Ref504104066 \h </w:instrText>
      </w:r>
      <w:r>
        <w:fldChar w:fldCharType="separate"/>
      </w:r>
      <w:r>
        <w:t xml:space="preserve">Figure </w:t>
      </w:r>
      <w:r>
        <w:rPr>
          <w:noProof/>
        </w:rPr>
        <w:t>1</w:t>
      </w:r>
      <w:r>
        <w:fldChar w:fldCharType="end"/>
      </w:r>
      <w:r>
        <w:t xml:space="preserve"> shows such channel loading statistics for the Victoria and Vancouver region in British Columbia, Canada, which is only considered a moderate AIS traffic area.  At the level of channel loading Class-B CS device reporting behaviour is already diminished, and coverage range from a shore side perspective has been reduced compared to a system that is not loaded to the same extent.</w:t>
      </w:r>
    </w:p>
    <w:p w14:paraId="0F47D974" w14:textId="77777777" w:rsidR="004C75DE" w:rsidRDefault="004C75DE" w:rsidP="004C75DE">
      <w:r>
        <w:rPr>
          <w:rFonts w:ascii="Calibri" w:hAnsi="Calibri" w:cs="Calibri"/>
          <w:noProof/>
          <w:color w:val="18376A"/>
          <w:sz w:val="29"/>
          <w:szCs w:val="29"/>
          <w:lang w:eastAsia="en-GB"/>
        </w:rPr>
        <w:drawing>
          <wp:inline distT="0" distB="0" distL="0" distR="0" wp14:anchorId="4BC43BCE" wp14:editId="42371E89">
            <wp:extent cx="6567821" cy="2333625"/>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574531" cy="2336009"/>
                    </a:xfrm>
                    <a:prstGeom prst="rect">
                      <a:avLst/>
                    </a:prstGeom>
                    <a:noFill/>
                    <a:ln>
                      <a:noFill/>
                    </a:ln>
                  </pic:spPr>
                </pic:pic>
              </a:graphicData>
            </a:graphic>
          </wp:inline>
        </w:drawing>
      </w:r>
    </w:p>
    <w:p w14:paraId="526DE91E" w14:textId="77777777" w:rsidR="004C75DE" w:rsidRDefault="004C75DE" w:rsidP="004C75DE">
      <w:pPr>
        <w:pStyle w:val="Figurecaption"/>
        <w:jc w:val="center"/>
      </w:pPr>
      <w:bookmarkStart w:id="17" w:name="_Toc504900303"/>
      <w:r>
        <w:t xml:space="preserve">Channel Loading Statistics Oct. 15, 2017, approaching 50% – </w:t>
      </w:r>
      <w:commentRangeStart w:id="18"/>
      <w:r>
        <w:t>Victoria/ Vancouver Canada</w:t>
      </w:r>
      <w:bookmarkEnd w:id="17"/>
      <w:r>
        <w:t xml:space="preserve">  </w:t>
      </w:r>
      <w:commentRangeEnd w:id="18"/>
      <w:r>
        <w:rPr>
          <w:rStyle w:val="CommentReference"/>
          <w:i w:val="0"/>
          <w:color w:val="auto"/>
          <w:u w:val="none"/>
        </w:rPr>
        <w:commentReference w:id="18"/>
      </w:r>
    </w:p>
    <w:p w14:paraId="5D9503A8" w14:textId="77777777" w:rsidR="004C75DE" w:rsidRDefault="004C75DE" w:rsidP="004C75DE">
      <w:pPr>
        <w:pStyle w:val="Heading3"/>
        <w:tabs>
          <w:tab w:val="num" w:pos="0"/>
        </w:tabs>
        <w:spacing w:before="0" w:after="0"/>
        <w:ind w:left="992" w:right="0" w:hanging="992"/>
      </w:pPr>
      <w:bookmarkStart w:id="19" w:name="_Toc527022339"/>
      <w:bookmarkStart w:id="20" w:name="_Toc527030783"/>
      <w:r>
        <w:t>AMRD appearing as Class B devices</w:t>
      </w:r>
      <w:bookmarkEnd w:id="19"/>
      <w:bookmarkEnd w:id="20"/>
    </w:p>
    <w:p w14:paraId="38BA231E" w14:textId="77777777" w:rsidR="004C75DE" w:rsidRDefault="004C75DE" w:rsidP="004C75DE">
      <w:pPr>
        <w:pStyle w:val="BodyText"/>
      </w:pPr>
      <w:r>
        <w:t>AIS-AMRD often use the ITU-R M. 1371 message types 18, 24A and 24B to transmit their dynamic and static navigation data.</w:t>
      </w:r>
    </w:p>
    <w:p w14:paraId="57E1FCA1" w14:textId="77777777" w:rsidR="004C75DE" w:rsidRDefault="004C75DE" w:rsidP="004C75DE">
      <w:pPr>
        <w:pStyle w:val="BodyText"/>
      </w:pPr>
      <w:r w:rsidRPr="003D3B63">
        <w:t>These AIS-AMRD are displayed as vessels fitted with Class B devices (see figure 2 and figure 3).</w:t>
      </w:r>
    </w:p>
    <w:p w14:paraId="13A59850" w14:textId="77777777" w:rsidR="004C75DE" w:rsidRDefault="004C75DE" w:rsidP="004C75DE">
      <w:pPr>
        <w:pStyle w:val="BodyText"/>
      </w:pPr>
      <w:r>
        <w:t>The symbology for maritime centric displays is described in IEC 62288.  There is no provision in the maritime symbology lexicon to display AIS-AMRD.  This means that any mariner and/or shore side Maritime Information System (MIS) operator is unable differentiate an AIS-AMRD from an AIS vessel. It is difficult to determine the risks posed by AIS-AMRD and the equipment to which they are attached.</w:t>
      </w:r>
    </w:p>
    <w:p w14:paraId="52D0F726" w14:textId="77777777" w:rsidR="004C75DE" w:rsidRDefault="004C75DE" w:rsidP="004C75DE">
      <w:pPr>
        <w:pStyle w:val="Heading3"/>
        <w:tabs>
          <w:tab w:val="num" w:pos="0"/>
        </w:tabs>
        <w:spacing w:before="0" w:after="0"/>
        <w:ind w:left="992" w:right="0" w:hanging="992"/>
      </w:pPr>
      <w:bookmarkStart w:id="21" w:name="_Toc527022340"/>
      <w:bookmarkStart w:id="22" w:name="_Toc527030784"/>
      <w:r>
        <w:t>AMRD not meeting technical standards</w:t>
      </w:r>
      <w:bookmarkEnd w:id="21"/>
      <w:bookmarkEnd w:id="22"/>
    </w:p>
    <w:p w14:paraId="35A64E96" w14:textId="77777777" w:rsidR="004C75DE" w:rsidRDefault="004C75DE" w:rsidP="004C75DE">
      <w:pPr>
        <w:pStyle w:val="BodyText"/>
      </w:pPr>
      <w:r>
        <w:t>ITU-R M.1371 provides the technical standard for AIS.  In addition, IEC has developed testing standards for the AIS devices identified in ITU-R M.1371 to ensure protection of the radio spectrum used for AIS.  Therefore, all devices that use AIS1 and AIS2 shall comply to ITU-R M. 1371.</w:t>
      </w:r>
    </w:p>
    <w:p w14:paraId="4821ABE8" w14:textId="77777777" w:rsidR="004C75DE" w:rsidRDefault="004C75DE" w:rsidP="004C75DE">
      <w:pPr>
        <w:pStyle w:val="BodyText"/>
      </w:pPr>
      <w:r>
        <w:t>AIS-AMRD are not identified as AIS devices within the standards.  AIS-AMRD are using some aspects of the existing standards, but not all.  Of concern is the use of the ‘Vessel Name’ parameter to include dynamic information within the ‘Vessel Name’ parameter such as battery voltage and similar parameters (see figure 2).</w:t>
      </w:r>
    </w:p>
    <w:p w14:paraId="4ECCADD6" w14:textId="77777777" w:rsidR="004C75DE" w:rsidRDefault="004C75DE" w:rsidP="004C75DE">
      <w:pPr>
        <w:spacing w:after="200" w:line="276" w:lineRule="auto"/>
        <w:rPr>
          <w:rFonts w:asciiTheme="majorHAnsi" w:eastAsiaTheme="majorEastAsia" w:hAnsiTheme="majorHAnsi" w:cstheme="majorBidi"/>
          <w:b/>
          <w:bCs/>
          <w:smallCaps/>
          <w:color w:val="009FDF"/>
          <w:sz w:val="22"/>
        </w:rPr>
      </w:pPr>
      <w:r>
        <w:br w:type="page"/>
      </w:r>
    </w:p>
    <w:p w14:paraId="1D35BA52" w14:textId="77777777" w:rsidR="004C75DE" w:rsidRDefault="004C75DE" w:rsidP="004C75DE">
      <w:pPr>
        <w:pStyle w:val="Heading3"/>
        <w:tabs>
          <w:tab w:val="num" w:pos="0"/>
        </w:tabs>
        <w:spacing w:before="0" w:after="0"/>
        <w:ind w:left="992" w:right="0" w:hanging="992"/>
      </w:pPr>
      <w:bookmarkStart w:id="23" w:name="_Toc504899867"/>
      <w:bookmarkStart w:id="24" w:name="_Toc504902622"/>
      <w:bookmarkStart w:id="25" w:name="_Toc504903165"/>
      <w:bookmarkStart w:id="26" w:name="_Toc504903778"/>
      <w:bookmarkStart w:id="27" w:name="_Toc527022341"/>
      <w:bookmarkStart w:id="28" w:name="_Toc527030785"/>
      <w:bookmarkEnd w:id="23"/>
      <w:bookmarkEnd w:id="24"/>
      <w:bookmarkEnd w:id="25"/>
      <w:bookmarkEnd w:id="26"/>
      <w:r>
        <w:lastRenderedPageBreak/>
        <w:t>Screen over crowing of navigation display</w:t>
      </w:r>
      <w:bookmarkEnd w:id="27"/>
      <w:bookmarkEnd w:id="28"/>
    </w:p>
    <w:p w14:paraId="31398B85" w14:textId="77777777" w:rsidR="004C75DE" w:rsidRDefault="004C75DE" w:rsidP="004C75DE">
      <w:pPr>
        <w:pStyle w:val="BodyText"/>
        <w:rPr>
          <w:lang w:eastAsia="zh-CN"/>
        </w:rPr>
      </w:pPr>
      <w:r>
        <w:rPr>
          <w:lang w:eastAsia="zh-CN"/>
        </w:rPr>
        <w:t xml:space="preserve">When AIS- AMRD report as AIS AtoNs or AIS Class-B devices, it is difficult to differentiate between AIS-AMRD and AIS AtoN or Class B AIS devices. Where differentiated symbology does not exist, it is difficult to distinguish the difference between AIS-AMRDs of group B (which are not directly linked to safety of navigation) from AMRDs of group A (directly related to safety of navigation). The AMRD information on the ECDIS or other display, although useful to the owner of the AMRD, becomes distracting and results in information overload to other users.  </w:t>
      </w:r>
    </w:p>
    <w:p w14:paraId="07AA3BD8" w14:textId="77777777" w:rsidR="004C75DE" w:rsidRDefault="004C75DE" w:rsidP="004C75DE">
      <w:pPr>
        <w:pStyle w:val="BodyText"/>
        <w:rPr>
          <w:lang w:eastAsia="zh-CN"/>
        </w:rPr>
      </w:pPr>
      <w:r>
        <w:rPr>
          <w:lang w:eastAsia="zh-CN"/>
        </w:rPr>
        <w:t xml:space="preserve">It is important that the mariner and the shore side MIS operator are able to clearly identify important information in the immediate area without spending time analysing irrelevant information, such as AIS-AMRD.  Figures 2 and 3 show real-life examples of fishing nets AIS-AMRDs reporting as Class-B vessels and creating overcrowding on the RADAR screen and ECDIS.  </w:t>
      </w:r>
    </w:p>
    <w:p w14:paraId="28C68EBC" w14:textId="77777777" w:rsidR="004C75DE" w:rsidRDefault="004C75DE" w:rsidP="004C75DE">
      <w:pPr>
        <w:pStyle w:val="BodyText"/>
        <w:rPr>
          <w:lang w:eastAsia="zh-CN"/>
        </w:rPr>
      </w:pPr>
      <w:r>
        <w:rPr>
          <w:lang w:eastAsia="zh-CN"/>
        </w:rPr>
        <w:t xml:space="preserve">This clearly illustrates that AIS-AMRDs create overcrowding and prevents the mariner from quickly identifying potential risks and returning their attention to looking outside the bridge as quickly as possible. </w:t>
      </w:r>
    </w:p>
    <w:p w14:paraId="645E7DCA" w14:textId="77777777" w:rsidR="004C75DE" w:rsidRDefault="004C75DE" w:rsidP="004C75DE">
      <w:pPr>
        <w:jc w:val="both"/>
        <w:rPr>
          <w:lang w:eastAsia="zh-CN"/>
        </w:rPr>
      </w:pPr>
      <w:r>
        <w:rPr>
          <w:noProof/>
          <w:lang w:eastAsia="en-GB"/>
        </w:rPr>
        <w:drawing>
          <wp:inline distT="0" distB="0" distL="0" distR="0" wp14:anchorId="579B394C" wp14:editId="78F1F60B">
            <wp:extent cx="6373294" cy="4849223"/>
            <wp:effectExtent l="0" t="0" r="8890" b="8890"/>
            <wp:docPr id="8" name="Image 2" descr="cid:image002.jpg@01D2A8A1.336C43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jpg@01D2A8A1.336C43E0"/>
                    <pic:cNvPicPr>
                      <a:picLocks noChangeAspect="1" noChangeArrowheads="1"/>
                    </pic:cNvPicPr>
                  </pic:nvPicPr>
                  <pic:blipFill rotWithShape="1">
                    <a:blip r:embed="rId25" r:link="rId26">
                      <a:extLst>
                        <a:ext uri="{28A0092B-C50C-407E-A947-70E740481C1C}">
                          <a14:useLocalDpi xmlns:a14="http://schemas.microsoft.com/office/drawing/2010/main" val="0"/>
                        </a:ext>
                      </a:extLst>
                    </a:blip>
                    <a:srcRect t="27741" b="15196"/>
                    <a:stretch/>
                  </pic:blipFill>
                  <pic:spPr bwMode="auto">
                    <a:xfrm>
                      <a:off x="0" y="0"/>
                      <a:ext cx="6384164" cy="4857494"/>
                    </a:xfrm>
                    <a:prstGeom prst="rect">
                      <a:avLst/>
                    </a:prstGeom>
                    <a:noFill/>
                    <a:ln>
                      <a:noFill/>
                    </a:ln>
                    <a:extLst>
                      <a:ext uri="{53640926-AAD7-44D8-BBD7-CCE9431645EC}">
                        <a14:shadowObscured xmlns:a14="http://schemas.microsoft.com/office/drawing/2010/main"/>
                      </a:ext>
                    </a:extLst>
                  </pic:spPr>
                </pic:pic>
              </a:graphicData>
            </a:graphic>
          </wp:inline>
        </w:drawing>
      </w:r>
    </w:p>
    <w:p w14:paraId="180C90C4" w14:textId="77777777" w:rsidR="004C75DE" w:rsidRDefault="004C75DE" w:rsidP="004C75DE">
      <w:pPr>
        <w:pStyle w:val="Figurecaption"/>
        <w:jc w:val="center"/>
      </w:pPr>
      <w:bookmarkStart w:id="29" w:name="_Toc504900304"/>
      <w:r>
        <w:t>RADAR display of Vessels and AIS-AMRDs using the same symbol on AIS frequencies creating screen clutter, Canada</w:t>
      </w:r>
      <w:bookmarkEnd w:id="29"/>
    </w:p>
    <w:p w14:paraId="351A75A3" w14:textId="77777777" w:rsidR="004C75DE" w:rsidRDefault="004C75DE" w:rsidP="004C75DE">
      <w:pPr>
        <w:jc w:val="both"/>
        <w:rPr>
          <w:lang w:eastAsia="zh-CN"/>
        </w:rPr>
      </w:pPr>
      <w:r>
        <w:rPr>
          <w:noProof/>
          <w:lang w:eastAsia="en-GB"/>
        </w:rPr>
        <w:lastRenderedPageBreak/>
        <w:drawing>
          <wp:inline distT="0" distB="0" distL="0" distR="0" wp14:anchorId="7578F13D" wp14:editId="3BCBAB12">
            <wp:extent cx="6281859" cy="4142015"/>
            <wp:effectExtent l="0" t="0" r="5080" b="0"/>
            <wp:docPr id="6" name="Image 1" descr="cid:image003.jpg@01D2A8A1.336C43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3.jpg@01D2A8A1.336C43E0"/>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6287198" cy="4145535"/>
                    </a:xfrm>
                    <a:prstGeom prst="rect">
                      <a:avLst/>
                    </a:prstGeom>
                    <a:noFill/>
                    <a:ln>
                      <a:noFill/>
                    </a:ln>
                  </pic:spPr>
                </pic:pic>
              </a:graphicData>
            </a:graphic>
          </wp:inline>
        </w:drawing>
      </w:r>
    </w:p>
    <w:p w14:paraId="531FBE2A" w14:textId="77777777" w:rsidR="004C75DE" w:rsidRDefault="004C75DE" w:rsidP="004C75DE">
      <w:pPr>
        <w:pStyle w:val="Figurecaption"/>
        <w:jc w:val="center"/>
      </w:pPr>
      <w:bookmarkStart w:id="30" w:name="_Toc504900305"/>
      <w:r>
        <w:t>ECDIS Display of Vessels and AIS-AMRDs using the same symbol on AIS frequencies creating screen clutter, Canada</w:t>
      </w:r>
      <w:bookmarkEnd w:id="30"/>
    </w:p>
    <w:p w14:paraId="03CF23D5" w14:textId="77777777" w:rsidR="004C75DE" w:rsidRDefault="004C75DE" w:rsidP="004C75DE">
      <w:pPr>
        <w:pStyle w:val="BodyText"/>
        <w:rPr>
          <w:lang w:eastAsia="zh-CN"/>
        </w:rPr>
      </w:pPr>
      <w:r>
        <w:rPr>
          <w:lang w:eastAsia="zh-CN"/>
        </w:rPr>
        <w:t>The use of AIS frequencies is convenient for the AIS-AMRD users but cannot be removed from mariner’s AIS/ECDIS/RADAR displays without removing all AIS AtoN or AIS Class-B information layer. This is not desirable from a safety perspective and is time consuming for the mariner and shore side MIS operator to individually assess each such report, and/or continually toggle display layers.</w:t>
      </w:r>
    </w:p>
    <w:p w14:paraId="3C9E5C4D" w14:textId="77777777" w:rsidR="004C75DE" w:rsidRPr="00C0317C" w:rsidRDefault="004C75DE" w:rsidP="004C75DE">
      <w:pPr>
        <w:pStyle w:val="Heading2"/>
        <w:spacing w:before="200" w:after="0" w:line="276" w:lineRule="auto"/>
        <w:ind w:left="576" w:right="0" w:hanging="576"/>
      </w:pPr>
      <w:bookmarkStart w:id="31" w:name="_Toc527022342"/>
      <w:bookmarkStart w:id="32" w:name="_Toc527030786"/>
      <w:r w:rsidRPr="00C0317C">
        <w:t>The need for action</w:t>
      </w:r>
      <w:bookmarkEnd w:id="31"/>
      <w:bookmarkEnd w:id="32"/>
    </w:p>
    <w:p w14:paraId="2247B91C" w14:textId="554FE839" w:rsidR="004C75DE" w:rsidRDefault="004C75DE" w:rsidP="004C75DE">
      <w:pPr>
        <w:pStyle w:val="BodyText"/>
        <w:rPr>
          <w:lang w:eastAsia="zh-CN"/>
        </w:rPr>
      </w:pPr>
      <w:r>
        <w:t xml:space="preserve">Without proper oversight, AIS-AMRD traffic will continue to have an increased impact to the performance, reliability of safety and security aspects of AIS channels.  This has a negative impact on the services mandated by the 1974 SOLAS convention, including collision avoidance between moving vessels, avoidance of maritime hazards, and other MIS.  In addition, AIS-AMRD have a negative impact on the ability to make effective use of AIS in support of Vessel Traffic Services (VTS). </w:t>
      </w:r>
    </w:p>
    <w:p w14:paraId="3495376C" w14:textId="77777777" w:rsidR="004C75DE" w:rsidRDefault="004C75DE" w:rsidP="004C75DE">
      <w:pPr>
        <w:spacing w:after="200" w:line="276" w:lineRule="auto"/>
        <w:rPr>
          <w:rFonts w:asciiTheme="majorHAnsi" w:eastAsiaTheme="majorEastAsia" w:hAnsiTheme="majorHAnsi" w:cstheme="majorBidi"/>
          <w:b/>
          <w:bCs/>
          <w:caps/>
          <w:color w:val="009FDF"/>
          <w:sz w:val="28"/>
          <w:szCs w:val="24"/>
          <w:lang w:eastAsia="zh-CN"/>
        </w:rPr>
      </w:pPr>
      <w:r>
        <w:rPr>
          <w:lang w:eastAsia="zh-CN"/>
        </w:rPr>
        <w:br w:type="page"/>
      </w:r>
    </w:p>
    <w:p w14:paraId="5B7BF250" w14:textId="77777777" w:rsidR="004C75DE" w:rsidRDefault="004C75DE" w:rsidP="004C75DE">
      <w:pPr>
        <w:pStyle w:val="Heading1"/>
        <w:spacing w:before="480" w:line="276" w:lineRule="auto"/>
        <w:rPr>
          <w:lang w:eastAsia="zh-CN"/>
        </w:rPr>
      </w:pPr>
      <w:bookmarkStart w:id="33" w:name="_Toc527022343"/>
      <w:bookmarkStart w:id="34" w:name="_Toc527030787"/>
      <w:r>
        <w:rPr>
          <w:lang w:eastAsia="zh-CN"/>
        </w:rPr>
        <w:lastRenderedPageBreak/>
        <w:t>Recommendations on the use of AMRDs</w:t>
      </w:r>
      <w:bookmarkEnd w:id="33"/>
      <w:bookmarkEnd w:id="34"/>
    </w:p>
    <w:p w14:paraId="3D0BDD3A" w14:textId="77777777" w:rsidR="004C75DE" w:rsidRDefault="004C75DE" w:rsidP="004C75DE">
      <w:pPr>
        <w:pStyle w:val="BodyText"/>
        <w:rPr>
          <w:lang w:eastAsia="zh-CN"/>
        </w:rPr>
      </w:pPr>
      <w:r>
        <w:rPr>
          <w:lang w:eastAsia="zh-CN"/>
        </w:rPr>
        <w:t>When used appropriately, AIS-AMRD has potential for fostering innovation in the maritime domain. There are a number of approaches that can be taken to promote innovation while protecting existing systems such as AIS, including:</w:t>
      </w:r>
    </w:p>
    <w:p w14:paraId="0B32BEB5" w14:textId="77777777" w:rsidR="004C75DE" w:rsidRDefault="004C75DE" w:rsidP="00F332A3">
      <w:pPr>
        <w:pStyle w:val="BodyText"/>
        <w:numPr>
          <w:ilvl w:val="0"/>
          <w:numId w:val="39"/>
        </w:numPr>
        <w:rPr>
          <w:lang w:eastAsia="zh-CN"/>
        </w:rPr>
      </w:pPr>
      <w:r>
        <w:rPr>
          <w:lang w:eastAsia="zh-CN"/>
        </w:rPr>
        <w:t xml:space="preserve">Operational approaches; </w:t>
      </w:r>
      <w:commentRangeStart w:id="35"/>
      <w:r>
        <w:rPr>
          <w:lang w:eastAsia="zh-CN"/>
        </w:rPr>
        <w:t>recommendations</w:t>
      </w:r>
      <w:commentRangeEnd w:id="35"/>
      <w:r>
        <w:rPr>
          <w:rStyle w:val="CommentReference"/>
        </w:rPr>
        <w:commentReference w:id="35"/>
      </w:r>
    </w:p>
    <w:p w14:paraId="34CAE7EB" w14:textId="77777777" w:rsidR="004C75DE" w:rsidRDefault="004C75DE" w:rsidP="00F332A3">
      <w:pPr>
        <w:pStyle w:val="BodyText"/>
        <w:numPr>
          <w:ilvl w:val="0"/>
          <w:numId w:val="39"/>
        </w:numPr>
        <w:rPr>
          <w:lang w:eastAsia="zh-CN"/>
        </w:rPr>
      </w:pPr>
      <w:r>
        <w:rPr>
          <w:lang w:eastAsia="zh-CN"/>
        </w:rPr>
        <w:t>Short term technical approaches;</w:t>
      </w:r>
      <w:r w:rsidRPr="00706131">
        <w:rPr>
          <w:lang w:eastAsia="zh-CN"/>
        </w:rPr>
        <w:t xml:space="preserve"> </w:t>
      </w:r>
    </w:p>
    <w:p w14:paraId="672FE4C1" w14:textId="77777777" w:rsidR="004C75DE" w:rsidRDefault="004C75DE" w:rsidP="00F332A3">
      <w:pPr>
        <w:pStyle w:val="BodyText"/>
        <w:numPr>
          <w:ilvl w:val="0"/>
          <w:numId w:val="39"/>
        </w:numPr>
        <w:rPr>
          <w:lang w:eastAsia="zh-CN"/>
        </w:rPr>
      </w:pPr>
      <w:r>
        <w:rPr>
          <w:lang w:eastAsia="zh-CN"/>
        </w:rPr>
        <w:t>Potential medium and longer-term solutions to be considered</w:t>
      </w:r>
    </w:p>
    <w:p w14:paraId="3367BDC5" w14:textId="77777777" w:rsidR="004C75DE" w:rsidRDefault="004C75DE" w:rsidP="004C75DE">
      <w:pPr>
        <w:pStyle w:val="Heading2"/>
        <w:spacing w:before="200" w:after="0" w:line="276" w:lineRule="auto"/>
        <w:ind w:left="576" w:right="0" w:hanging="576"/>
      </w:pPr>
      <w:bookmarkStart w:id="36" w:name="_Toc504899871"/>
      <w:bookmarkStart w:id="37" w:name="_Toc504902626"/>
      <w:bookmarkStart w:id="38" w:name="_Toc504903169"/>
      <w:bookmarkStart w:id="39" w:name="_Toc504903782"/>
      <w:bookmarkStart w:id="40" w:name="_Toc527022344"/>
      <w:bookmarkStart w:id="41" w:name="_Toc527030788"/>
      <w:bookmarkEnd w:id="36"/>
      <w:bookmarkEnd w:id="37"/>
      <w:bookmarkEnd w:id="38"/>
      <w:bookmarkEnd w:id="39"/>
      <w:r>
        <w:t>Operational Approaches</w:t>
      </w:r>
      <w:bookmarkEnd w:id="40"/>
      <w:bookmarkEnd w:id="41"/>
    </w:p>
    <w:p w14:paraId="2DE7F97F" w14:textId="77777777" w:rsidR="004C75DE" w:rsidRDefault="004C75DE" w:rsidP="004C75DE">
      <w:pPr>
        <w:pStyle w:val="BodyText"/>
      </w:pPr>
      <w:r>
        <w:t>The operational approaches which should be considered in order to mitigate the potential impact of AIS-AMRDs and address the immediate issues caused by AIS-AMRD include:</w:t>
      </w:r>
    </w:p>
    <w:p w14:paraId="375B4931" w14:textId="77777777" w:rsidR="004C75DE" w:rsidRDefault="004C75DE" w:rsidP="00F332A3">
      <w:pPr>
        <w:pStyle w:val="BodyText"/>
        <w:numPr>
          <w:ilvl w:val="0"/>
          <w:numId w:val="41"/>
        </w:numPr>
        <w:rPr>
          <w:lang w:val="en-US"/>
        </w:rPr>
      </w:pPr>
      <w:r>
        <w:rPr>
          <w:lang w:val="en-US"/>
        </w:rPr>
        <w:t>Ensure that all AIS-AMRD installed within the national and/or regional domain meet with the applicable technical and test standards.</w:t>
      </w:r>
    </w:p>
    <w:p w14:paraId="44139E4A" w14:textId="77777777" w:rsidR="004C75DE" w:rsidRDefault="004C75DE" w:rsidP="00F332A3">
      <w:pPr>
        <w:pStyle w:val="BodyText"/>
        <w:numPr>
          <w:ilvl w:val="0"/>
          <w:numId w:val="41"/>
        </w:numPr>
        <w:rPr>
          <w:lang w:val="en-US"/>
        </w:rPr>
      </w:pPr>
      <w:r>
        <w:rPr>
          <w:lang w:val="en-US"/>
        </w:rPr>
        <w:t>Publish guidelines to the national and/or regional maritime environment under its control as to the technical standards, use and approval for use of AIS-AMRD within the authority’s domain.</w:t>
      </w:r>
    </w:p>
    <w:p w14:paraId="3FAC4D48" w14:textId="77777777" w:rsidR="004C75DE" w:rsidRDefault="004C75DE" w:rsidP="00F332A3">
      <w:pPr>
        <w:pStyle w:val="BodyText"/>
        <w:numPr>
          <w:ilvl w:val="0"/>
          <w:numId w:val="41"/>
        </w:numPr>
        <w:rPr>
          <w:lang w:val="en-US"/>
        </w:rPr>
      </w:pPr>
      <w:r>
        <w:rPr>
          <w:lang w:val="en-US"/>
        </w:rPr>
        <w:t>Ensure that all AIS-AMRD are issued with and use the correct Maritime Mobile Service Identifier (MMSI) as detailed in the applicable technical standards and recommendations.</w:t>
      </w:r>
    </w:p>
    <w:p w14:paraId="501D992C" w14:textId="77777777" w:rsidR="004C75DE" w:rsidRDefault="004C75DE" w:rsidP="00F332A3">
      <w:pPr>
        <w:pStyle w:val="BodyText"/>
        <w:numPr>
          <w:ilvl w:val="0"/>
          <w:numId w:val="41"/>
        </w:numPr>
        <w:rPr>
          <w:lang w:val="en-US"/>
        </w:rPr>
      </w:pPr>
      <w:r>
        <w:rPr>
          <w:lang w:val="en-US"/>
        </w:rPr>
        <w:t xml:space="preserve">Implement a regulatory regime to manage the implementation of AIS-AMRD, and train appropriate persons to enforce the regime.  </w:t>
      </w:r>
    </w:p>
    <w:p w14:paraId="1A8A1AE8" w14:textId="77777777" w:rsidR="004C75DE" w:rsidRDefault="004C75DE" w:rsidP="004C75DE">
      <w:pPr>
        <w:pStyle w:val="Heading2"/>
        <w:spacing w:before="200" w:after="0" w:line="276" w:lineRule="auto"/>
        <w:ind w:left="576" w:right="0" w:hanging="576"/>
      </w:pPr>
      <w:bookmarkStart w:id="42" w:name="_Toc527022345"/>
      <w:bookmarkStart w:id="43" w:name="_Toc527030789"/>
      <w:r>
        <w:t>Short term Technical Approaches</w:t>
      </w:r>
      <w:bookmarkEnd w:id="42"/>
      <w:bookmarkEnd w:id="43"/>
    </w:p>
    <w:p w14:paraId="3F36FBAA" w14:textId="77777777" w:rsidR="004C75DE" w:rsidRDefault="004C75DE" w:rsidP="004C75DE">
      <w:pPr>
        <w:pStyle w:val="BodyText"/>
      </w:pPr>
      <w:r>
        <w:t>The list below offers some short-term technical approaches that should be considered to mitigate the potential impact of AIS-AMRDs and address the immediate issues caused by AIS-AMRDs.</w:t>
      </w:r>
    </w:p>
    <w:p w14:paraId="3B618A3D" w14:textId="77777777" w:rsidR="004C75DE" w:rsidRDefault="004C75DE" w:rsidP="00F332A3">
      <w:pPr>
        <w:pStyle w:val="BodyText"/>
        <w:numPr>
          <w:ilvl w:val="0"/>
          <w:numId w:val="42"/>
        </w:numPr>
        <w:rPr>
          <w:lang w:val="en-US"/>
        </w:rPr>
      </w:pPr>
      <w:r>
        <w:rPr>
          <w:lang w:val="en-US"/>
        </w:rPr>
        <w:t xml:space="preserve">Allow the use of message type 21 for AIS-AMRD (AIS AtoN). </w:t>
      </w:r>
      <w:r w:rsidRPr="00B101EF">
        <w:rPr>
          <w:lang w:val="en-US"/>
        </w:rPr>
        <w:t>The AIS AtoN transponder can be of type 1, 2 or 3 depending on requirements.</w:t>
      </w:r>
      <w:r>
        <w:rPr>
          <w:lang w:val="en-US"/>
        </w:rPr>
        <w:t xml:space="preserve"> </w:t>
      </w:r>
      <w:commentRangeStart w:id="44"/>
      <w:r>
        <w:rPr>
          <w:lang w:val="en-US"/>
        </w:rPr>
        <w:t>This allows</w:t>
      </w:r>
      <w:r w:rsidRPr="00B101EF">
        <w:rPr>
          <w:lang w:val="en-US"/>
        </w:rPr>
        <w:t xml:space="preserve"> </w:t>
      </w:r>
      <w:r>
        <w:rPr>
          <w:lang w:val="en-US"/>
        </w:rPr>
        <w:t>an</w:t>
      </w:r>
      <w:r w:rsidRPr="00B101EF">
        <w:rPr>
          <w:lang w:val="en-US"/>
        </w:rPr>
        <w:t xml:space="preserve"> AtoN layer </w:t>
      </w:r>
      <w:r>
        <w:rPr>
          <w:lang w:val="en-US"/>
        </w:rPr>
        <w:t xml:space="preserve">that </w:t>
      </w:r>
      <w:r w:rsidRPr="00B101EF">
        <w:rPr>
          <w:lang w:val="en-US"/>
        </w:rPr>
        <w:t xml:space="preserve">can be deactivated from the mariner’s display, reducing the risk of confusion. </w:t>
      </w:r>
      <w:commentRangeEnd w:id="44"/>
      <w:r>
        <w:rPr>
          <w:rStyle w:val="CommentReference"/>
        </w:rPr>
        <w:commentReference w:id="44"/>
      </w:r>
      <w:r w:rsidRPr="00B101EF">
        <w:rPr>
          <w:lang w:val="en-US"/>
        </w:rPr>
        <w:t>Message 21 offers up to 34 characters for the name of the AtoN which will allow pertinent information to be available to mariners on the AMRD</w:t>
      </w:r>
      <w:r>
        <w:rPr>
          <w:lang w:val="en-US"/>
        </w:rPr>
        <w:t>s</w:t>
      </w:r>
      <w:r w:rsidRPr="00B101EF">
        <w:rPr>
          <w:lang w:val="en-US"/>
        </w:rPr>
        <w:t>.</w:t>
      </w:r>
      <w:r>
        <w:rPr>
          <w:lang w:val="en-US"/>
        </w:rPr>
        <w:t xml:space="preserve"> </w:t>
      </w:r>
    </w:p>
    <w:p w14:paraId="28012C10" w14:textId="77777777" w:rsidR="004C75DE" w:rsidRDefault="004C75DE" w:rsidP="00F332A3">
      <w:pPr>
        <w:pStyle w:val="BodyText"/>
        <w:numPr>
          <w:ilvl w:val="0"/>
          <w:numId w:val="42"/>
        </w:numPr>
        <w:rPr>
          <w:lang w:val="en-US"/>
        </w:rPr>
      </w:pPr>
      <w:r>
        <w:rPr>
          <w:lang w:val="en-US"/>
        </w:rPr>
        <w:t>Ensure</w:t>
      </w:r>
      <w:r w:rsidRPr="00B101EF">
        <w:rPr>
          <w:lang w:val="en-US"/>
        </w:rPr>
        <w:t xml:space="preserve"> the name of </w:t>
      </w:r>
      <w:r>
        <w:rPr>
          <w:lang w:val="en-US"/>
        </w:rPr>
        <w:t>AIS-</w:t>
      </w:r>
      <w:r w:rsidRPr="00B101EF">
        <w:rPr>
          <w:lang w:val="en-US"/>
        </w:rPr>
        <w:t>AMRD AtoN contained in message 21</w:t>
      </w:r>
      <w:r>
        <w:rPr>
          <w:lang w:val="en-US"/>
        </w:rPr>
        <w:t xml:space="preserve"> commences</w:t>
      </w:r>
      <w:r w:rsidRPr="00B101EF">
        <w:rPr>
          <w:lang w:val="en-US"/>
        </w:rPr>
        <w:t xml:space="preserve"> with</w:t>
      </w:r>
      <w:r>
        <w:rPr>
          <w:lang w:val="en-US"/>
        </w:rPr>
        <w:t xml:space="preserve"> the word</w:t>
      </w:r>
      <w:r w:rsidRPr="00B101EF">
        <w:rPr>
          <w:lang w:val="en-US"/>
        </w:rPr>
        <w:t xml:space="preserve"> “DEVICE” followed by a space and then the type of device and the owner, name of ship or its acronym. For example, for an </w:t>
      </w:r>
      <w:r>
        <w:rPr>
          <w:lang w:val="en-US"/>
        </w:rPr>
        <w:t>AIS-</w:t>
      </w:r>
      <w:r w:rsidRPr="00B101EF">
        <w:rPr>
          <w:lang w:val="en-US"/>
        </w:rPr>
        <w:t xml:space="preserve">AMRD of type fishing net locator, owned by </w:t>
      </w:r>
      <w:r>
        <w:rPr>
          <w:lang w:val="en-US"/>
        </w:rPr>
        <w:t>[Agency]</w:t>
      </w:r>
      <w:r w:rsidRPr="00B101EF">
        <w:rPr>
          <w:lang w:val="en-US"/>
        </w:rPr>
        <w:t xml:space="preserve">, the name of the AtoN contained in message 21 should be “DEVICE FISHING NET </w:t>
      </w:r>
      <w:r>
        <w:rPr>
          <w:lang w:val="en-US"/>
        </w:rPr>
        <w:t>[Agency]” (23</w:t>
      </w:r>
      <w:r w:rsidRPr="00B101EF">
        <w:rPr>
          <w:lang w:val="en-US"/>
        </w:rPr>
        <w:t xml:space="preserve"> characters).</w:t>
      </w:r>
      <w:r w:rsidRPr="00590396">
        <w:rPr>
          <w:lang w:val="en-US"/>
        </w:rPr>
        <w:t xml:space="preserve"> </w:t>
      </w:r>
    </w:p>
    <w:p w14:paraId="50043CDA" w14:textId="77777777" w:rsidR="004C75DE" w:rsidRDefault="004C75DE" w:rsidP="00F332A3">
      <w:pPr>
        <w:pStyle w:val="BodyText"/>
        <w:numPr>
          <w:ilvl w:val="0"/>
          <w:numId w:val="42"/>
        </w:numPr>
        <w:rPr>
          <w:lang w:val="en-US"/>
        </w:rPr>
      </w:pPr>
      <w:r w:rsidRPr="00B101EF">
        <w:rPr>
          <w:lang w:val="en-US"/>
        </w:rPr>
        <w:t xml:space="preserve">Use a static name for </w:t>
      </w:r>
      <w:r>
        <w:rPr>
          <w:lang w:val="en-US"/>
        </w:rPr>
        <w:t>AIS-</w:t>
      </w:r>
      <w:r w:rsidRPr="00B101EF">
        <w:rPr>
          <w:lang w:val="en-US"/>
        </w:rPr>
        <w:t>AMRD</w:t>
      </w:r>
      <w:r>
        <w:rPr>
          <w:lang w:val="en-US"/>
        </w:rPr>
        <w:t>s</w:t>
      </w:r>
      <w:r w:rsidRPr="00B101EF">
        <w:rPr>
          <w:lang w:val="en-US"/>
        </w:rPr>
        <w:t xml:space="preserve"> identification in message 21. Never use </w:t>
      </w:r>
      <w:r>
        <w:rPr>
          <w:lang w:val="en-US"/>
        </w:rPr>
        <w:t xml:space="preserve">a name that would be </w:t>
      </w:r>
      <w:r w:rsidRPr="00B101EF">
        <w:rPr>
          <w:lang w:val="en-US"/>
        </w:rPr>
        <w:t xml:space="preserve">dynamic in nature (such as voltage level of the battery) or other measurements that would cause the name of the </w:t>
      </w:r>
      <w:r>
        <w:rPr>
          <w:lang w:val="en-US"/>
        </w:rPr>
        <w:t>device</w:t>
      </w:r>
      <w:r w:rsidRPr="00B101EF">
        <w:rPr>
          <w:lang w:val="en-US"/>
        </w:rPr>
        <w:t xml:space="preserve"> to change on a Mariner’s ECS or ECDIS. </w:t>
      </w:r>
    </w:p>
    <w:p w14:paraId="4D9F4545" w14:textId="77777777" w:rsidR="004C75DE" w:rsidRDefault="004C75DE" w:rsidP="00F332A3">
      <w:pPr>
        <w:pStyle w:val="BodyText"/>
        <w:numPr>
          <w:ilvl w:val="0"/>
          <w:numId w:val="42"/>
        </w:numPr>
        <w:rPr>
          <w:lang w:val="en-US"/>
        </w:rPr>
      </w:pPr>
      <w:r>
        <w:rPr>
          <w:lang w:val="en-US"/>
        </w:rPr>
        <w:t>AIS-AMRD should use binary messages on AIS 1 for transferring of telemetry data.</w:t>
      </w:r>
      <w:r w:rsidRPr="0073380A">
        <w:rPr>
          <w:lang w:val="en-US"/>
        </w:rPr>
        <w:t xml:space="preserve"> </w:t>
      </w:r>
    </w:p>
    <w:p w14:paraId="72314C3E" w14:textId="77777777" w:rsidR="004C75DE" w:rsidRPr="00B101EF" w:rsidRDefault="004C75DE" w:rsidP="00F332A3">
      <w:pPr>
        <w:pStyle w:val="BodyText"/>
        <w:numPr>
          <w:ilvl w:val="0"/>
          <w:numId w:val="42"/>
        </w:numPr>
        <w:rPr>
          <w:lang w:val="en-US"/>
        </w:rPr>
      </w:pPr>
      <w:r w:rsidRPr="00B101EF">
        <w:rPr>
          <w:lang w:val="en-US"/>
        </w:rPr>
        <w:t>Use type of AtoN “0” (Default, Type of AtoN not specified) in message 21.</w:t>
      </w:r>
    </w:p>
    <w:p w14:paraId="6846E11B" w14:textId="77777777" w:rsidR="004C75DE" w:rsidRPr="002265A5" w:rsidRDefault="004C75DE" w:rsidP="00F332A3">
      <w:pPr>
        <w:pStyle w:val="BodyText"/>
        <w:numPr>
          <w:ilvl w:val="0"/>
          <w:numId w:val="42"/>
        </w:numPr>
        <w:rPr>
          <w:lang w:eastAsia="zh-CN"/>
        </w:rPr>
      </w:pPr>
      <w:r w:rsidRPr="00D41947">
        <w:rPr>
          <w:lang w:val="en-US"/>
        </w:rPr>
        <w:t>Always set their Virtual AtoN flag to report as a real AtoN (set to “0”).</w:t>
      </w:r>
    </w:p>
    <w:p w14:paraId="0236A8F2" w14:textId="77777777" w:rsidR="004C75DE" w:rsidRPr="00B101EF" w:rsidRDefault="004C75DE" w:rsidP="00F332A3">
      <w:pPr>
        <w:pStyle w:val="BodyText"/>
        <w:numPr>
          <w:ilvl w:val="0"/>
          <w:numId w:val="42"/>
        </w:numPr>
        <w:rPr>
          <w:lang w:val="en-US"/>
        </w:rPr>
      </w:pPr>
      <w:r w:rsidRPr="00B101EF">
        <w:rPr>
          <w:lang w:val="en-US"/>
        </w:rPr>
        <w:t xml:space="preserve">Limit </w:t>
      </w:r>
      <w:r>
        <w:rPr>
          <w:lang w:val="en-US"/>
        </w:rPr>
        <w:t>AIS-</w:t>
      </w:r>
      <w:r w:rsidRPr="00B101EF">
        <w:rPr>
          <w:lang w:val="en-US"/>
        </w:rPr>
        <w:t>AMRD</w:t>
      </w:r>
      <w:r>
        <w:rPr>
          <w:lang w:val="en-US"/>
        </w:rPr>
        <w:t>s</w:t>
      </w:r>
      <w:r w:rsidRPr="00B101EF">
        <w:rPr>
          <w:lang w:val="en-US"/>
        </w:rPr>
        <w:t xml:space="preserve"> reporting rate to once every 6 minutes</w:t>
      </w:r>
      <w:r>
        <w:rPr>
          <w:lang w:val="en-US"/>
        </w:rPr>
        <w:t xml:space="preserve"> or longer.</w:t>
      </w:r>
    </w:p>
    <w:p w14:paraId="05FC011E" w14:textId="77777777" w:rsidR="004C75DE" w:rsidRPr="003D3B63" w:rsidRDefault="004C75DE" w:rsidP="00F332A3">
      <w:pPr>
        <w:pStyle w:val="BodyText"/>
        <w:numPr>
          <w:ilvl w:val="0"/>
          <w:numId w:val="42"/>
        </w:numPr>
        <w:spacing w:after="200" w:line="276" w:lineRule="auto"/>
        <w:rPr>
          <w:lang w:val="en-US"/>
        </w:rPr>
      </w:pPr>
      <w:r w:rsidRPr="003D3B63">
        <w:rPr>
          <w:highlight w:val="yellow"/>
          <w:lang w:val="en-US"/>
        </w:rPr>
        <w:t>Limit AIS-AMRDs to position reports on AIS1 only. This ensures that AIS 2 is left unencumbered from the load of these devices while still maintaining compatibility with existing AIS transponders until migration off AIS frequencies.</w:t>
      </w:r>
    </w:p>
    <w:p w14:paraId="2FC38E07" w14:textId="77777777" w:rsidR="004C75DE" w:rsidRDefault="004C75DE" w:rsidP="00F332A3">
      <w:pPr>
        <w:pStyle w:val="BodyText"/>
        <w:numPr>
          <w:ilvl w:val="0"/>
          <w:numId w:val="42"/>
        </w:numPr>
        <w:rPr>
          <w:lang w:val="en-US"/>
        </w:rPr>
      </w:pPr>
      <w:r>
        <w:rPr>
          <w:lang w:val="en-US"/>
        </w:rPr>
        <w:t xml:space="preserve">Assign AIS-AMRD MMSIs in accordance with </w:t>
      </w:r>
      <w:r w:rsidRPr="00706131">
        <w:rPr>
          <w:lang w:val="en-US"/>
        </w:rPr>
        <w:t>Recommendation ITU-R M.585-7</w:t>
      </w:r>
      <w:r>
        <w:rPr>
          <w:lang w:val="en-US"/>
        </w:rPr>
        <w:t>, Annex 1, Section 4:</w:t>
      </w:r>
    </w:p>
    <w:p w14:paraId="7C2C80DD" w14:textId="77777777" w:rsidR="004C75DE" w:rsidRDefault="004C75DE" w:rsidP="00F332A3">
      <w:pPr>
        <w:pStyle w:val="BodyText"/>
        <w:numPr>
          <w:ilvl w:val="1"/>
          <w:numId w:val="40"/>
        </w:numPr>
        <w:rPr>
          <w:lang w:val="en-US"/>
        </w:rPr>
      </w:pPr>
      <w:r>
        <w:rPr>
          <w:lang w:val="en-US"/>
        </w:rPr>
        <w:lastRenderedPageBreak/>
        <w:t>T</w:t>
      </w:r>
      <w:r w:rsidRPr="00706131">
        <w:rPr>
          <w:lang w:val="en-US"/>
        </w:rPr>
        <w:t>he responsible administration should assign a nine-digit unique number in the format 9</w:t>
      </w:r>
      <w:r w:rsidRPr="00BE7D31">
        <w:rPr>
          <w:vertAlign w:val="subscript"/>
          <w:lang w:val="en-US"/>
        </w:rPr>
        <w:t>1</w:t>
      </w:r>
      <w:r w:rsidRPr="00706131">
        <w:rPr>
          <w:lang w:val="en-US"/>
        </w:rPr>
        <w:t>9</w:t>
      </w:r>
      <w:r w:rsidRPr="00BE7D31">
        <w:rPr>
          <w:vertAlign w:val="subscript"/>
          <w:lang w:val="en-US"/>
        </w:rPr>
        <w:t>2</w:t>
      </w:r>
      <w:r w:rsidRPr="00706131">
        <w:rPr>
          <w:lang w:val="en-US"/>
        </w:rPr>
        <w:t>M</w:t>
      </w:r>
      <w:r w:rsidRPr="00BE7D31">
        <w:rPr>
          <w:vertAlign w:val="subscript"/>
          <w:lang w:val="en-US"/>
        </w:rPr>
        <w:t>3</w:t>
      </w:r>
      <w:r w:rsidRPr="00706131">
        <w:rPr>
          <w:lang w:val="en-US"/>
        </w:rPr>
        <w:t>I</w:t>
      </w:r>
      <w:r w:rsidRPr="00BE7D31">
        <w:rPr>
          <w:vertAlign w:val="subscript"/>
          <w:lang w:val="en-US"/>
        </w:rPr>
        <w:t>4</w:t>
      </w:r>
      <w:r w:rsidRPr="00706131">
        <w:rPr>
          <w:lang w:val="en-US"/>
        </w:rPr>
        <w:t>D</w:t>
      </w:r>
      <w:r w:rsidRPr="00BE7D31">
        <w:rPr>
          <w:vertAlign w:val="subscript"/>
          <w:lang w:val="en-US"/>
        </w:rPr>
        <w:t>5</w:t>
      </w:r>
      <w:r w:rsidRPr="00706131">
        <w:rPr>
          <w:lang w:val="en-US"/>
        </w:rPr>
        <w:t>X</w:t>
      </w:r>
      <w:r w:rsidRPr="00BE7D31">
        <w:rPr>
          <w:vertAlign w:val="subscript"/>
          <w:lang w:val="en-US"/>
        </w:rPr>
        <w:t>6</w:t>
      </w:r>
      <w:r w:rsidRPr="00706131">
        <w:rPr>
          <w:lang w:val="en-US"/>
        </w:rPr>
        <w:t>X</w:t>
      </w:r>
      <w:r w:rsidRPr="00BE7D31">
        <w:rPr>
          <w:vertAlign w:val="subscript"/>
          <w:lang w:val="en-US"/>
        </w:rPr>
        <w:t>7</w:t>
      </w:r>
      <w:r w:rsidRPr="00706131">
        <w:rPr>
          <w:lang w:val="en-US"/>
        </w:rPr>
        <w:t>X</w:t>
      </w:r>
      <w:r w:rsidRPr="00BE7D31">
        <w:rPr>
          <w:vertAlign w:val="subscript"/>
          <w:lang w:val="en-US"/>
        </w:rPr>
        <w:t>8</w:t>
      </w:r>
      <w:r w:rsidRPr="00706131">
        <w:rPr>
          <w:lang w:val="en-US"/>
        </w:rPr>
        <w:t>X</w:t>
      </w:r>
      <w:r w:rsidRPr="00BE7D31">
        <w:rPr>
          <w:vertAlign w:val="subscript"/>
          <w:lang w:val="en-US"/>
        </w:rPr>
        <w:t>9</w:t>
      </w:r>
      <w:r w:rsidRPr="00706131">
        <w:rPr>
          <w:lang w:val="en-US"/>
        </w:rPr>
        <w:t xml:space="preserve"> where the digits 3, 4 and 5 represent the MID and X is any figure from 0 to 9. The MID represents the administration having jurisdiction over the call identity for the navigational aid.</w:t>
      </w:r>
    </w:p>
    <w:p w14:paraId="5258A98A" w14:textId="77777777" w:rsidR="004C75DE" w:rsidRPr="00706131" w:rsidRDefault="004C75DE" w:rsidP="00F332A3">
      <w:pPr>
        <w:pStyle w:val="BodyText"/>
        <w:numPr>
          <w:ilvl w:val="1"/>
          <w:numId w:val="40"/>
        </w:numPr>
        <w:rPr>
          <w:lang w:val="en-US"/>
        </w:rPr>
      </w:pPr>
      <w:r w:rsidRPr="00706131">
        <w:rPr>
          <w:lang w:val="en-US"/>
        </w:rPr>
        <w:t>The administration may use the sixth digit to differentiate between certain specific uses of the MMSI, as shown in the example applications below:</w:t>
      </w:r>
    </w:p>
    <w:p w14:paraId="2E6CF01F" w14:textId="77777777" w:rsidR="004C75DE" w:rsidRPr="00706131" w:rsidRDefault="004C75DE" w:rsidP="00F332A3">
      <w:pPr>
        <w:pStyle w:val="BodyText"/>
        <w:numPr>
          <w:ilvl w:val="2"/>
          <w:numId w:val="40"/>
        </w:numPr>
        <w:rPr>
          <w:lang w:val="en-US"/>
        </w:rPr>
      </w:pPr>
      <w:r w:rsidRPr="00706131">
        <w:rPr>
          <w:lang w:val="en-US"/>
        </w:rPr>
        <w:t>99MID1XXX Physical AIS AtoN</w:t>
      </w:r>
    </w:p>
    <w:p w14:paraId="244498B3" w14:textId="77777777" w:rsidR="004C75DE" w:rsidRDefault="004C75DE" w:rsidP="00F332A3">
      <w:pPr>
        <w:pStyle w:val="BodyText"/>
        <w:numPr>
          <w:ilvl w:val="2"/>
          <w:numId w:val="40"/>
        </w:numPr>
        <w:rPr>
          <w:lang w:val="en-US"/>
        </w:rPr>
      </w:pPr>
      <w:r w:rsidRPr="00706131">
        <w:rPr>
          <w:lang w:val="en-US"/>
        </w:rPr>
        <w:t>99MID6XXX Virtual AIS AtoN</w:t>
      </w:r>
    </w:p>
    <w:p w14:paraId="76A2D0C8" w14:textId="77777777" w:rsidR="004C75DE" w:rsidRPr="00BE7D31" w:rsidRDefault="004C75DE" w:rsidP="00F332A3">
      <w:pPr>
        <w:pStyle w:val="BodyText"/>
        <w:numPr>
          <w:ilvl w:val="1"/>
          <w:numId w:val="40"/>
        </w:numPr>
        <w:rPr>
          <w:lang w:val="en-US"/>
        </w:rPr>
      </w:pPr>
      <w:r>
        <w:rPr>
          <w:lang w:val="en-US"/>
        </w:rPr>
        <w:t xml:space="preserve">Noting that as per </w:t>
      </w:r>
      <w:r w:rsidRPr="00624A3C">
        <w:rPr>
          <w:lang w:val="en-US"/>
        </w:rPr>
        <w:t>document SC.3/WP.3 No. 16 (2016)</w:t>
      </w:r>
      <w:r>
        <w:rPr>
          <w:lang w:val="en-US"/>
        </w:rPr>
        <w:t>,</w:t>
      </w:r>
      <w:r w:rsidRPr="00624A3C">
        <w:t xml:space="preserve"> </w:t>
      </w:r>
      <w:r w:rsidRPr="00624A3C">
        <w:rPr>
          <w:lang w:val="en-US"/>
        </w:rPr>
        <w:t>Working Party on the Standardization of Technical and Safety Requirements in Inland Navigation</w:t>
      </w:r>
      <w:r>
        <w:rPr>
          <w:lang w:val="en-US"/>
        </w:rPr>
        <w:t xml:space="preserve">, </w:t>
      </w:r>
      <w:r w:rsidRPr="00BE7D31">
        <w:rPr>
          <w:lang w:val="en-US"/>
        </w:rPr>
        <w:t>Forty-eighth session</w:t>
      </w:r>
      <w:r>
        <w:rPr>
          <w:lang w:val="en-US"/>
        </w:rPr>
        <w:t xml:space="preserve">, </w:t>
      </w:r>
      <w:r w:rsidRPr="00BE7D31">
        <w:rPr>
          <w:lang w:val="en-US"/>
        </w:rPr>
        <w:t>Geneva, 17–19 February 2016</w:t>
      </w:r>
      <w:r>
        <w:rPr>
          <w:lang w:val="en-US"/>
        </w:rPr>
        <w:t>:</w:t>
      </w:r>
    </w:p>
    <w:p w14:paraId="5F308CFA" w14:textId="77777777" w:rsidR="004C75DE" w:rsidRPr="00624A3C" w:rsidRDefault="004C75DE" w:rsidP="00F332A3">
      <w:pPr>
        <w:pStyle w:val="BodyText"/>
        <w:numPr>
          <w:ilvl w:val="2"/>
          <w:numId w:val="40"/>
        </w:numPr>
        <w:rPr>
          <w:lang w:val="en-US"/>
        </w:rPr>
      </w:pPr>
      <w:r w:rsidRPr="00624A3C">
        <w:rPr>
          <w:lang w:val="en-US"/>
        </w:rPr>
        <w:t xml:space="preserve">It is proposed to determine the following MMSI format for AIS AtoN in inland waterways on which </w:t>
      </w:r>
      <w:r w:rsidRPr="00347EEA">
        <w:rPr>
          <w:lang w:val="en-US"/>
        </w:rPr>
        <w:t xml:space="preserve">Code </w:t>
      </w:r>
      <w:proofErr w:type="spellStart"/>
      <w:r w:rsidRPr="00347EEA">
        <w:rPr>
          <w:lang w:val="en-US"/>
        </w:rPr>
        <w:t>Européen</w:t>
      </w:r>
      <w:proofErr w:type="spellEnd"/>
      <w:r w:rsidRPr="00347EEA">
        <w:rPr>
          <w:lang w:val="en-US"/>
        </w:rPr>
        <w:t xml:space="preserve"> des </w:t>
      </w:r>
      <w:proofErr w:type="spellStart"/>
      <w:r w:rsidRPr="00347EEA">
        <w:rPr>
          <w:lang w:val="en-US"/>
        </w:rPr>
        <w:t>Voies</w:t>
      </w:r>
      <w:proofErr w:type="spellEnd"/>
      <w:r w:rsidRPr="00347EEA">
        <w:rPr>
          <w:lang w:val="en-US"/>
        </w:rPr>
        <w:t xml:space="preserve"> de Navigation </w:t>
      </w:r>
      <w:proofErr w:type="spellStart"/>
      <w:r w:rsidRPr="00347EEA">
        <w:rPr>
          <w:lang w:val="en-US"/>
        </w:rPr>
        <w:t>Intérieure</w:t>
      </w:r>
      <w:proofErr w:type="spellEnd"/>
      <w:r>
        <w:rPr>
          <w:lang w:val="en-US"/>
        </w:rPr>
        <w:t xml:space="preserve"> (</w:t>
      </w:r>
      <w:r w:rsidRPr="00624A3C">
        <w:rPr>
          <w:lang w:val="en-US"/>
        </w:rPr>
        <w:t>CEVNI</w:t>
      </w:r>
      <w:r>
        <w:rPr>
          <w:lang w:val="en-US"/>
        </w:rPr>
        <w:t>)</w:t>
      </w:r>
      <w:r w:rsidRPr="00624A3C">
        <w:rPr>
          <w:lang w:val="en-US"/>
        </w:rPr>
        <w:t xml:space="preserve"> is applied:</w:t>
      </w:r>
    </w:p>
    <w:p w14:paraId="649D4AA1" w14:textId="77777777" w:rsidR="004C75DE" w:rsidRPr="00624A3C" w:rsidRDefault="004C75DE" w:rsidP="00F332A3">
      <w:pPr>
        <w:pStyle w:val="BodyText"/>
        <w:numPr>
          <w:ilvl w:val="3"/>
          <w:numId w:val="40"/>
        </w:numPr>
        <w:rPr>
          <w:lang w:val="en-US"/>
        </w:rPr>
      </w:pPr>
      <w:r w:rsidRPr="00624A3C">
        <w:rPr>
          <w:lang w:val="en-US"/>
        </w:rPr>
        <w:t>99MID2XXX for physical AIS AtoN in inland waterways;</w:t>
      </w:r>
    </w:p>
    <w:p w14:paraId="0144ED57" w14:textId="77777777" w:rsidR="004C75DE" w:rsidRDefault="004C75DE" w:rsidP="00F332A3">
      <w:pPr>
        <w:pStyle w:val="BodyText"/>
        <w:numPr>
          <w:ilvl w:val="3"/>
          <w:numId w:val="40"/>
        </w:numPr>
        <w:rPr>
          <w:lang w:val="en-US"/>
        </w:rPr>
      </w:pPr>
      <w:r w:rsidRPr="00624A3C">
        <w:rPr>
          <w:lang w:val="en-US"/>
        </w:rPr>
        <w:t>99MID7XXX for virtual AIS AtoN in inland waterways.</w:t>
      </w:r>
    </w:p>
    <w:p w14:paraId="4C51D6D4" w14:textId="77777777" w:rsidR="004C75DE" w:rsidRPr="00BE7D31" w:rsidRDefault="004C75DE" w:rsidP="00F332A3">
      <w:pPr>
        <w:pStyle w:val="BodyText"/>
        <w:numPr>
          <w:ilvl w:val="1"/>
          <w:numId w:val="40"/>
        </w:numPr>
        <w:rPr>
          <w:lang w:val="en-US"/>
        </w:rPr>
      </w:pPr>
      <w:r>
        <w:rPr>
          <w:lang w:val="en-US"/>
        </w:rPr>
        <w:t>Noting that MMSI 999 999 999 (and potentially 999 999 XXX for vessels in close proximity to each other) is used for identifying military vessels.</w:t>
      </w:r>
    </w:p>
    <w:p w14:paraId="7AAB7401" w14:textId="77777777" w:rsidR="004C75DE" w:rsidRPr="00BE7D31" w:rsidRDefault="004C75DE" w:rsidP="004C75DE">
      <w:pPr>
        <w:pStyle w:val="Heading2"/>
        <w:spacing w:before="200" w:after="0" w:line="276" w:lineRule="auto"/>
        <w:ind w:left="576" w:right="0" w:hanging="576"/>
      </w:pPr>
      <w:bookmarkStart w:id="45" w:name="_Toc527022346"/>
      <w:bookmarkStart w:id="46" w:name="_Toc527030790"/>
      <w:r w:rsidRPr="00BE7D31">
        <w:t>Potential medium and long term technical considerations</w:t>
      </w:r>
      <w:bookmarkEnd w:id="45"/>
      <w:bookmarkEnd w:id="46"/>
    </w:p>
    <w:p w14:paraId="1E8E52BC" w14:textId="77777777" w:rsidR="004C75DE" w:rsidRPr="002265A5" w:rsidRDefault="004C75DE" w:rsidP="004C75DE">
      <w:pPr>
        <w:pStyle w:val="BodyText"/>
      </w:pPr>
      <w:r w:rsidRPr="002265A5">
        <w:t>IALA have developed a technical specification ITU-R M. 209</w:t>
      </w:r>
      <w:r>
        <w:t>2</w:t>
      </w:r>
      <w:r w:rsidRPr="002265A5">
        <w:t>-0. VDES provides th</w:t>
      </w:r>
      <w:r>
        <w:t xml:space="preserve">e </w:t>
      </w:r>
      <w:r w:rsidRPr="002265A5">
        <w:t>maritime environment with a digital communications platform that</w:t>
      </w:r>
      <w:r>
        <w:t xml:space="preserve"> offers increased</w:t>
      </w:r>
      <w:r w:rsidRPr="002265A5">
        <w:t xml:space="preserve"> data capacity than does the AIS technology.</w:t>
      </w:r>
    </w:p>
    <w:p w14:paraId="5508C040" w14:textId="77777777" w:rsidR="004C75DE" w:rsidRPr="002265A5" w:rsidRDefault="004C75DE" w:rsidP="004C75DE">
      <w:pPr>
        <w:pStyle w:val="BodyText"/>
      </w:pPr>
    </w:p>
    <w:p w14:paraId="234FF8B1" w14:textId="77777777" w:rsidR="004C75DE" w:rsidRDefault="004C75DE" w:rsidP="00F332A3">
      <w:pPr>
        <w:pStyle w:val="Heading1"/>
        <w:numPr>
          <w:ilvl w:val="0"/>
          <w:numId w:val="43"/>
        </w:numPr>
      </w:pPr>
      <w:bookmarkStart w:id="47" w:name="_Toc527022347"/>
      <w:bookmarkStart w:id="48" w:name="_Toc527030791"/>
      <w:r>
        <w:t>DEFINITIONS</w:t>
      </w:r>
      <w:bookmarkEnd w:id="47"/>
      <w:bookmarkEnd w:id="48"/>
    </w:p>
    <w:p w14:paraId="4E04712C" w14:textId="77777777" w:rsidR="004C75DE" w:rsidRPr="00920E23" w:rsidRDefault="004C75DE" w:rsidP="004C75DE">
      <w:pPr>
        <w:pStyle w:val="Heading1separatationline"/>
      </w:pPr>
    </w:p>
    <w:p w14:paraId="1B767AC8" w14:textId="77777777" w:rsidR="004C75DE" w:rsidRDefault="004C75DE" w:rsidP="004C75DE">
      <w:pPr>
        <w:pStyle w:val="BodyText"/>
      </w:pPr>
      <w:r>
        <w:t>[Th</w:t>
      </w:r>
      <w:r w:rsidRPr="008766B4">
        <w:t xml:space="preserve">e definitions of terms used in this </w:t>
      </w:r>
      <w:r>
        <w:t>IALA Guideline</w:t>
      </w:r>
      <w:r w:rsidRPr="008766B4">
        <w:t xml:space="preserve"> can be found in the International Dictionary of Marine Aids to Navigation (IALA Dictionary) at </w:t>
      </w:r>
      <w:hyperlink r:id="rId29" w:history="1">
        <w:r w:rsidRPr="008766B4">
          <w:rPr>
            <w:rStyle w:val="Hyperlink"/>
          </w:rPr>
          <w:t>http://www.iala-aism.org/wiki/dictionary</w:t>
        </w:r>
      </w:hyperlink>
      <w:r w:rsidRPr="008766B4">
        <w:t xml:space="preserve"> and were checked as correct at the time of going to print. </w:t>
      </w:r>
      <w:r>
        <w:t xml:space="preserve"> </w:t>
      </w:r>
      <w:r w:rsidRPr="008766B4">
        <w:t>Where conflict arises, the IALA Dictionary should be considered as the authoritative source of definitions used in IALA documents.</w:t>
      </w:r>
      <w:r>
        <w:t>]</w:t>
      </w:r>
    </w:p>
    <w:p w14:paraId="2B50FD4F" w14:textId="77777777" w:rsidR="004C75DE" w:rsidRDefault="004C75DE" w:rsidP="004C75DE">
      <w:pPr>
        <w:pStyle w:val="BodyText"/>
      </w:pPr>
      <w:r>
        <w:t>[</w:t>
      </w:r>
      <w:r w:rsidRPr="00734C42">
        <w:rPr>
          <w:highlight w:val="yellow"/>
        </w:rPr>
        <w:t>Carry out the review</w:t>
      </w:r>
      <w:r>
        <w:t xml:space="preserve"> / confirm any need to add new definitions to IALA Dictionary…]</w:t>
      </w:r>
    </w:p>
    <w:p w14:paraId="5D129172" w14:textId="77777777" w:rsidR="004C75DE" w:rsidRDefault="004C75DE" w:rsidP="00F332A3">
      <w:pPr>
        <w:pStyle w:val="Heading1"/>
        <w:numPr>
          <w:ilvl w:val="0"/>
          <w:numId w:val="43"/>
        </w:numPr>
      </w:pPr>
      <w:bookmarkStart w:id="49" w:name="_Toc527022348"/>
      <w:bookmarkStart w:id="50" w:name="_Toc527030792"/>
      <w:r>
        <w:t>ACRONYMS</w:t>
      </w:r>
      <w:bookmarkEnd w:id="49"/>
      <w:bookmarkEnd w:id="50"/>
    </w:p>
    <w:p w14:paraId="2C62A2C6" w14:textId="77777777" w:rsidR="004C75DE" w:rsidRPr="00920E23" w:rsidRDefault="004C75DE" w:rsidP="004C75DE">
      <w:pPr>
        <w:pStyle w:val="Heading1separatationline"/>
      </w:pPr>
    </w:p>
    <w:p w14:paraId="5F0B5008" w14:textId="77777777" w:rsidR="004C75DE" w:rsidRDefault="004C75DE" w:rsidP="004C75DE">
      <w:pPr>
        <w:pStyle w:val="Acronym"/>
      </w:pPr>
      <w:r>
        <w:t>IMO</w:t>
      </w:r>
      <w:r>
        <w:tab/>
        <w:t>International Maritime Organization (Acronym style)</w:t>
      </w:r>
    </w:p>
    <w:p w14:paraId="500A3565" w14:textId="77777777" w:rsidR="004C75DE" w:rsidRDefault="004C75DE" w:rsidP="004C75DE">
      <w:pPr>
        <w:pStyle w:val="Acronym"/>
      </w:pPr>
      <w:r>
        <w:t>[</w:t>
      </w:r>
      <w:r w:rsidRPr="00734C42">
        <w:rPr>
          <w:highlight w:val="yellow"/>
        </w:rPr>
        <w:t>TBD</w:t>
      </w:r>
      <w:r>
        <w:t>]</w:t>
      </w:r>
    </w:p>
    <w:p w14:paraId="32AF5283" w14:textId="77777777" w:rsidR="004C75DE" w:rsidRDefault="004C75DE" w:rsidP="004C75DE">
      <w:pPr>
        <w:pStyle w:val="Acronym"/>
      </w:pPr>
    </w:p>
    <w:p w14:paraId="0AFD37DF" w14:textId="77777777" w:rsidR="004C75DE" w:rsidRDefault="004C75DE" w:rsidP="00F332A3">
      <w:pPr>
        <w:pStyle w:val="Heading1"/>
        <w:numPr>
          <w:ilvl w:val="0"/>
          <w:numId w:val="43"/>
        </w:numPr>
      </w:pPr>
      <w:bookmarkStart w:id="51" w:name="_Toc527022349"/>
      <w:bookmarkStart w:id="52" w:name="_Toc527030793"/>
      <w:r>
        <w:t>REFERENCES</w:t>
      </w:r>
      <w:bookmarkEnd w:id="51"/>
      <w:bookmarkEnd w:id="52"/>
    </w:p>
    <w:p w14:paraId="2F55160B" w14:textId="77777777" w:rsidR="004C75DE" w:rsidRDefault="004C75DE" w:rsidP="004C75DE">
      <w:pPr>
        <w:pStyle w:val="Heading1separatationline"/>
      </w:pPr>
    </w:p>
    <w:p w14:paraId="6E3B6807" w14:textId="77777777" w:rsidR="004C75DE" w:rsidRDefault="004C75DE" w:rsidP="004C75DE">
      <w:pPr>
        <w:pStyle w:val="BodyText"/>
      </w:pPr>
      <w:r>
        <w:t xml:space="preserve">References to include: </w:t>
      </w:r>
    </w:p>
    <w:p w14:paraId="7812D20B" w14:textId="77777777" w:rsidR="004C75DE" w:rsidRPr="00734C42" w:rsidRDefault="004C75DE" w:rsidP="004C75DE">
      <w:pPr>
        <w:pStyle w:val="BodyText"/>
        <w:rPr>
          <w:highlight w:val="yellow"/>
        </w:rPr>
      </w:pPr>
      <w:r w:rsidRPr="00734C42">
        <w:rPr>
          <w:highlight w:val="yellow"/>
        </w:rPr>
        <w:t xml:space="preserve">ITU related </w:t>
      </w:r>
    </w:p>
    <w:p w14:paraId="0510F9CB" w14:textId="77777777" w:rsidR="004C75DE" w:rsidRPr="00734C42" w:rsidRDefault="004C75DE" w:rsidP="004C75DE">
      <w:pPr>
        <w:pStyle w:val="BodyText"/>
        <w:rPr>
          <w:highlight w:val="yellow"/>
        </w:rPr>
      </w:pPr>
      <w:r w:rsidRPr="00734C42">
        <w:rPr>
          <w:highlight w:val="yellow"/>
        </w:rPr>
        <w:t xml:space="preserve">IMO related </w:t>
      </w:r>
    </w:p>
    <w:p w14:paraId="774B95B8" w14:textId="77777777" w:rsidR="004C75DE" w:rsidRPr="00734C42" w:rsidRDefault="004C75DE" w:rsidP="004C75DE">
      <w:pPr>
        <w:pStyle w:val="BodyText"/>
      </w:pPr>
      <w:r w:rsidRPr="00734C42">
        <w:rPr>
          <w:highlight w:val="yellow"/>
        </w:rPr>
        <w:t>IALA related -</w:t>
      </w:r>
    </w:p>
    <w:p w14:paraId="29BB9DCB" w14:textId="77777777" w:rsidR="004C75DE" w:rsidRDefault="004C75DE" w:rsidP="004C75DE">
      <w:pPr>
        <w:pStyle w:val="Reference"/>
      </w:pPr>
      <w:r>
        <w:t>…. (Reference style)</w:t>
      </w:r>
    </w:p>
    <w:p w14:paraId="1DA14898" w14:textId="77777777" w:rsidR="004C75DE" w:rsidRDefault="004C75DE" w:rsidP="004C75DE">
      <w:pPr>
        <w:pStyle w:val="Reference"/>
      </w:pPr>
      <w:r>
        <w:lastRenderedPageBreak/>
        <w:t>….</w:t>
      </w:r>
    </w:p>
    <w:p w14:paraId="4F6AAC82" w14:textId="77777777" w:rsidR="004C75DE" w:rsidRDefault="004C75DE" w:rsidP="004C75DE">
      <w:pPr>
        <w:pStyle w:val="Reference"/>
      </w:pPr>
    </w:p>
    <w:p w14:paraId="4A68E765" w14:textId="77777777" w:rsidR="004C75DE" w:rsidRDefault="004C75DE" w:rsidP="004C75DE">
      <w:pPr>
        <w:spacing w:after="200" w:line="276" w:lineRule="auto"/>
        <w:rPr>
          <w:rFonts w:eastAsia="Times New Roman" w:cs="Times New Roman"/>
          <w:sz w:val="22"/>
          <w:szCs w:val="20"/>
        </w:rPr>
      </w:pPr>
      <w:r>
        <w:br w:type="page"/>
      </w:r>
    </w:p>
    <w:p w14:paraId="3581E44F" w14:textId="77777777" w:rsidR="004C75DE" w:rsidRDefault="004C75DE" w:rsidP="004C75DE">
      <w:pPr>
        <w:pStyle w:val="APPENDIX0"/>
        <w:numPr>
          <w:ilvl w:val="0"/>
          <w:numId w:val="16"/>
        </w:numPr>
      </w:pPr>
      <w:bookmarkStart w:id="53" w:name="_Toc527022350"/>
      <w:r>
        <w:lastRenderedPageBreak/>
        <w:t>[</w:t>
      </w:r>
      <w:r w:rsidRPr="00734C42">
        <w:rPr>
          <w:highlight w:val="yellow"/>
        </w:rPr>
        <w:t>if required</w:t>
      </w:r>
      <w:r>
        <w:t>]</w:t>
      </w:r>
      <w:bookmarkEnd w:id="53"/>
    </w:p>
    <w:p w14:paraId="532083A3" w14:textId="77777777" w:rsidR="004C75DE" w:rsidRPr="00920E23" w:rsidRDefault="004C75DE" w:rsidP="004C75DE">
      <w:pPr>
        <w:pStyle w:val="Reference"/>
        <w:numPr>
          <w:ilvl w:val="0"/>
          <w:numId w:val="0"/>
        </w:numPr>
        <w:ind w:left="567" w:hanging="567"/>
      </w:pPr>
    </w:p>
    <w:p w14:paraId="5861337F" w14:textId="74569774" w:rsidR="004C75DE" w:rsidRDefault="004C75DE" w:rsidP="004C75DE">
      <w:pPr>
        <w:pStyle w:val="BodyText"/>
      </w:pPr>
    </w:p>
    <w:sectPr w:rsidR="004C75DE" w:rsidSect="004C75DE">
      <w:headerReference w:type="even" r:id="rId30"/>
      <w:headerReference w:type="default" r:id="rId31"/>
      <w:footerReference w:type="default" r:id="rId32"/>
      <w:headerReference w:type="first" r:id="rId33"/>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6" w:author="Jillian Carson-Jackson" w:date="2018-08-06T21:44:00Z" w:initials="JC">
    <w:p w14:paraId="0F6E9966" w14:textId="77777777" w:rsidR="004C75DE" w:rsidRDefault="004C75DE" w:rsidP="004C75DE">
      <w:pPr>
        <w:pStyle w:val="CommentText"/>
      </w:pPr>
      <w:r>
        <w:rPr>
          <w:rStyle w:val="CommentReference"/>
        </w:rPr>
        <w:annotationRef/>
      </w:r>
      <w:r>
        <w:t xml:space="preserve">Is this true?  From my understanding of the discussion, CSTDMA would still transmit, but with longer delay, but I may have misunderstood the discussion.  </w:t>
      </w:r>
    </w:p>
  </w:comment>
  <w:comment w:id="18" w:author="Jillian Carson-Jackson" w:date="2018-10-11T11:57:00Z" w:initials="JC">
    <w:p w14:paraId="20FF98F3" w14:textId="77777777" w:rsidR="004C75DE" w:rsidRDefault="004C75DE" w:rsidP="004C75DE">
      <w:pPr>
        <w:pStyle w:val="CommentText"/>
      </w:pPr>
      <w:r>
        <w:rPr>
          <w:rStyle w:val="CommentReference"/>
        </w:rPr>
        <w:annotationRef/>
      </w:r>
      <w:r>
        <w:t>Confirm image is correct</w:t>
      </w:r>
    </w:p>
  </w:comment>
  <w:comment w:id="35" w:author="Jillian Carson-Jackson" w:date="2018-08-06T22:06:00Z" w:initials="JC">
    <w:p w14:paraId="4EA22BD5" w14:textId="77777777" w:rsidR="004C75DE" w:rsidRDefault="004C75DE" w:rsidP="004C75DE">
      <w:pPr>
        <w:pStyle w:val="CommentText"/>
      </w:pPr>
      <w:r>
        <w:rPr>
          <w:rStyle w:val="CommentReference"/>
        </w:rPr>
        <w:annotationRef/>
      </w:r>
      <w:r>
        <w:t xml:space="preserve">May need a different word to avoid confusion between IALA Recommendations and Guidelines, and the concept of the operational approaches to be taken into consideration (I amended to the work approaches, but I don’t think it is exactly correct). </w:t>
      </w:r>
    </w:p>
  </w:comment>
  <w:comment w:id="44" w:author="Jillian Carson-Jackson" w:date="2018-08-06T22:13:00Z" w:initials="JC">
    <w:p w14:paraId="3E785755" w14:textId="17A326D6" w:rsidR="004C75DE" w:rsidRDefault="004C75DE" w:rsidP="004C75DE">
      <w:pPr>
        <w:pStyle w:val="CommentText"/>
      </w:pPr>
      <w:r>
        <w:rPr>
          <w:rStyle w:val="CommentReference"/>
        </w:rPr>
        <w:annotationRef/>
      </w:r>
      <w:r>
        <w:t xml:space="preserve">This could be dangerous – as the vessel won’t see any AIS AtoN then.  I don’t believe this should be included.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F6E9966" w15:done="0"/>
  <w15:commentEx w15:paraId="20FF98F3" w15:done="0"/>
  <w15:commentEx w15:paraId="4EA22BD5" w15:done="0"/>
  <w15:commentEx w15:paraId="3E78575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F6E9966" w16cid:durableId="1F133FD0"/>
  <w16cid:commentId w16cid:paraId="20FF98F3" w16cid:durableId="1F69B90F"/>
  <w16cid:commentId w16cid:paraId="4EA22BD5" w16cid:durableId="1F134501"/>
  <w16cid:commentId w16cid:paraId="3E785755" w16cid:durableId="1F13466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FBDDE1" w14:textId="77777777" w:rsidR="000F2AC2" w:rsidRDefault="000F2AC2" w:rsidP="003274DB">
      <w:r>
        <w:separator/>
      </w:r>
    </w:p>
    <w:p w14:paraId="4C7BB197" w14:textId="77777777" w:rsidR="000F2AC2" w:rsidRDefault="000F2AC2"/>
  </w:endnote>
  <w:endnote w:type="continuationSeparator" w:id="0">
    <w:p w14:paraId="2B6A2CE3" w14:textId="77777777" w:rsidR="000F2AC2" w:rsidRDefault="000F2AC2" w:rsidP="003274DB">
      <w:r>
        <w:continuationSeparator/>
      </w:r>
    </w:p>
    <w:p w14:paraId="2348C194" w14:textId="77777777" w:rsidR="000F2AC2" w:rsidRDefault="000F2A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Calibri"/>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4AF9" w14:textId="77777777" w:rsidR="00812EAA" w:rsidRDefault="00812EAA"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67E2147" w14:textId="77777777" w:rsidR="00812EAA" w:rsidRDefault="00812EAA"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CF6D25" w14:textId="77777777" w:rsidR="00812EAA" w:rsidRDefault="00812EAA"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39B01CD" w14:textId="77777777" w:rsidR="00812EAA" w:rsidRDefault="00812EAA"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CA0FBC0" w14:textId="77777777" w:rsidR="00812EAA" w:rsidRDefault="00812EAA"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372C89" w14:textId="77777777" w:rsidR="00812EAA" w:rsidRPr="00AC24F4" w:rsidRDefault="00812EAA" w:rsidP="00910058">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w:t>
    </w:r>
    <w:proofErr w:type="spellStart"/>
    <w:r w:rsidRPr="00AC24F4">
      <w:rPr>
        <w:rFonts w:ascii="Avenir Book" w:hAnsi="Avenir Book"/>
        <w:color w:val="808080" w:themeColor="background1" w:themeShade="80"/>
        <w:sz w:val="13"/>
        <w:szCs w:val="13"/>
      </w:rPr>
      <w:t>en</w:t>
    </w:r>
    <w:proofErr w:type="spellEnd"/>
    <w:r w:rsidRPr="00AC24F4">
      <w:rPr>
        <w:rFonts w:ascii="Avenir Book" w:hAnsi="Avenir Book"/>
        <w:color w:val="808080" w:themeColor="background1" w:themeShade="80"/>
        <w:sz w:val="13"/>
        <w:szCs w:val="13"/>
      </w:rPr>
      <w:t xml:space="preserve">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32B469D3" w14:textId="77777777" w:rsidR="00812EAA" w:rsidRPr="00AC24F4" w:rsidRDefault="00812EAA" w:rsidP="00910058">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14:paraId="4E4C866A" w14:textId="77777777" w:rsidR="00812EAA" w:rsidRPr="004B6107" w:rsidRDefault="00812EAA"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68CD6447" w14:textId="77777777" w:rsidR="00812EAA" w:rsidRPr="004B6107" w:rsidRDefault="00812EAA"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A8CD47B" w14:textId="77777777" w:rsidR="00812EAA" w:rsidRPr="00910058" w:rsidRDefault="00812EAA"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eastAsia="en-GB"/>
      </w:rPr>
      <mc:AlternateContent>
        <mc:Choice Requires="wps">
          <w:drawing>
            <wp:anchor distT="0" distB="0" distL="114300" distR="114300" simplePos="0" relativeHeight="251669504" behindDoc="0" locked="0" layoutInCell="1" allowOverlap="1" wp14:anchorId="4DA9C9D8" wp14:editId="05B1385E">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C2A9E1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71F724" w14:textId="77777777" w:rsidR="00812EAA" w:rsidRDefault="00812EAA"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199D7EB7" wp14:editId="4A12FC36">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CD01ED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A22E024" w14:textId="77777777" w:rsidR="00812EAA" w:rsidRPr="00C907DF" w:rsidRDefault="00812EAA"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7C3AB1">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sidR="007C3AB1">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7C3AB1">
      <w:rPr>
        <w:b w:val="0"/>
        <w:bCs/>
        <w:noProof/>
        <w:szCs w:val="15"/>
        <w:lang w:val="en-US"/>
      </w:rPr>
      <w:t>Error! Use the Home tab to apply Subtitle to the text that you want to appear here.</w:t>
    </w:r>
    <w:r>
      <w:rPr>
        <w:szCs w:val="15"/>
      </w:rPr>
      <w:fldChar w:fldCharType="end"/>
    </w:r>
  </w:p>
  <w:p w14:paraId="66FDAA87" w14:textId="77777777" w:rsidR="00812EAA" w:rsidRPr="00525922" w:rsidRDefault="00812EAA"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7C3AB1">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372B83" w14:textId="77777777" w:rsidR="00812EAA" w:rsidRPr="00C716E5" w:rsidRDefault="00812EAA" w:rsidP="00C716E5">
    <w:pPr>
      <w:pStyle w:val="Footer"/>
      <w:rPr>
        <w:sz w:val="15"/>
        <w:szCs w:val="15"/>
      </w:rPr>
    </w:pPr>
  </w:p>
  <w:p w14:paraId="1B8D2BD1" w14:textId="77777777" w:rsidR="00812EAA" w:rsidRDefault="00812EAA" w:rsidP="00C716E5">
    <w:pPr>
      <w:pStyle w:val="Footerportrait"/>
    </w:pPr>
  </w:p>
  <w:p w14:paraId="11D6A1B5" w14:textId="50C995B0" w:rsidR="00812EAA" w:rsidRPr="00C907DF" w:rsidRDefault="00F332A3" w:rsidP="00C716E5">
    <w:pPr>
      <w:pStyle w:val="Footerportrait"/>
      <w:rPr>
        <w:rStyle w:val="PageNumber"/>
        <w:szCs w:val="15"/>
      </w:rPr>
    </w:pPr>
    <w:fldSimple w:instr=" STYLEREF &quot;Document type&quot; \* MERGEFORMAT ">
      <w:r w:rsidR="00AE0681">
        <w:t>IALA Guideline</w:t>
      </w:r>
    </w:fldSimple>
    <w:r w:rsidR="00812EAA" w:rsidRPr="00C907DF">
      <w:t xml:space="preserve"> </w:t>
    </w:r>
    <w:fldSimple w:instr=" STYLEREF &quot;Document number&quot; \* MERGEFORMAT ">
      <w:r w:rsidR="00AE0681">
        <w:t>1???</w:t>
      </w:r>
    </w:fldSimple>
    <w:r w:rsidR="00812EAA" w:rsidRPr="00C907DF">
      <w:t xml:space="preserve"> –</w:t>
    </w:r>
    <w:r w:rsidR="00812EAA">
      <w:t xml:space="preserve"> </w:t>
    </w:r>
    <w:r>
      <w:fldChar w:fldCharType="begin"/>
    </w:r>
    <w:r>
      <w:instrText xml:space="preserve"> STYLEREF "Document name" \* MERGEFORMAT </w:instrText>
    </w:r>
    <w:r>
      <w:fldChar w:fldCharType="separate"/>
    </w:r>
    <w:r w:rsidR="00AE0681">
      <w:rPr>
        <w:b w:val="0"/>
        <w:bCs/>
      </w:rPr>
      <w:t>Error! No text of specified style in document.</w:t>
    </w:r>
    <w:r>
      <w:fldChar w:fldCharType="end"/>
    </w:r>
  </w:p>
  <w:p w14:paraId="720659BE" w14:textId="7CA00E92" w:rsidR="00812EAA" w:rsidRPr="00C907DF" w:rsidRDefault="00F332A3" w:rsidP="00C716E5">
    <w:pPr>
      <w:pStyle w:val="Footerportrait"/>
    </w:pPr>
    <w:fldSimple w:instr=" STYLEREF &quot;Edition number&quot; \* MERGEFORMAT ">
      <w:r w:rsidR="00AE0681">
        <w:t>Edition 1.0</w:t>
      </w:r>
    </w:fldSimple>
    <w:r w:rsidR="00812EAA">
      <w:t xml:space="preserve">  </w:t>
    </w:r>
    <w:fldSimple w:instr=" STYLEREF &quot;Document date&quot; \* MERGEFORMAT ">
      <w:r w:rsidR="00AE0681">
        <w:t>Document date</w:t>
      </w:r>
    </w:fldSimple>
    <w:r w:rsidR="00812EAA" w:rsidRPr="00C907DF">
      <w:tab/>
    </w:r>
    <w:r w:rsidR="00812EAA">
      <w:t xml:space="preserve">P </w:t>
    </w:r>
    <w:r w:rsidR="00812EAA" w:rsidRPr="00C907DF">
      <w:rPr>
        <w:rStyle w:val="PageNumber"/>
        <w:szCs w:val="15"/>
      </w:rPr>
      <w:fldChar w:fldCharType="begin"/>
    </w:r>
    <w:r w:rsidR="00812EAA" w:rsidRPr="00C907DF">
      <w:rPr>
        <w:rStyle w:val="PageNumber"/>
        <w:szCs w:val="15"/>
      </w:rPr>
      <w:instrText xml:space="preserve">PAGE  </w:instrText>
    </w:r>
    <w:r w:rsidR="00812EAA" w:rsidRPr="00C907DF">
      <w:rPr>
        <w:rStyle w:val="PageNumber"/>
        <w:szCs w:val="15"/>
      </w:rPr>
      <w:fldChar w:fldCharType="separate"/>
    </w:r>
    <w:r w:rsidR="00AE0681">
      <w:rPr>
        <w:rStyle w:val="PageNumber"/>
        <w:szCs w:val="15"/>
      </w:rPr>
      <w:t>2</w:t>
    </w:r>
    <w:r w:rsidR="00812EAA"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9F7950" w14:textId="77777777" w:rsidR="00812EAA" w:rsidRDefault="00812EAA" w:rsidP="00C716E5">
    <w:pPr>
      <w:pStyle w:val="Footer"/>
    </w:pPr>
  </w:p>
  <w:p w14:paraId="07FDBAAC" w14:textId="77777777" w:rsidR="00812EAA" w:rsidRDefault="00812EAA" w:rsidP="00C716E5">
    <w:pPr>
      <w:pStyle w:val="Footerportrait"/>
    </w:pPr>
  </w:p>
  <w:p w14:paraId="2BEF0C56" w14:textId="3E527E32" w:rsidR="00812EAA" w:rsidRPr="00C907DF" w:rsidRDefault="00F332A3" w:rsidP="00C716E5">
    <w:pPr>
      <w:pStyle w:val="Footerportrait"/>
      <w:rPr>
        <w:rStyle w:val="PageNumber"/>
        <w:szCs w:val="15"/>
      </w:rPr>
    </w:pPr>
    <w:fldSimple w:instr=" STYLEREF &quot;Document type&quot; \* MERGEFORMAT ">
      <w:r w:rsidR="00AE0681">
        <w:t>IALA Guideline</w:t>
      </w:r>
    </w:fldSimple>
    <w:r w:rsidR="00812EAA" w:rsidRPr="00C907DF">
      <w:t xml:space="preserve"> </w:t>
    </w:r>
    <w:fldSimple w:instr=" STYLEREF &quot;Document number&quot; \* MERGEFORMAT ">
      <w:r w:rsidR="00AE0681">
        <w:t>1???</w:t>
      </w:r>
    </w:fldSimple>
    <w:r w:rsidR="00812EAA" w:rsidRPr="00C907DF">
      <w:t xml:space="preserve"> –</w:t>
    </w:r>
    <w:r w:rsidR="00812EAA">
      <w:t xml:space="preserve"> </w:t>
    </w:r>
    <w:r>
      <w:fldChar w:fldCharType="begin"/>
    </w:r>
    <w:r>
      <w:instrText xml:space="preserve"> STYLEREF "Document name" \* MERGEFORMAT </w:instrText>
    </w:r>
    <w:r>
      <w:fldChar w:fldCharType="separate"/>
    </w:r>
    <w:r w:rsidR="00AE0681">
      <w:rPr>
        <w:b w:val="0"/>
        <w:bCs/>
      </w:rPr>
      <w:t>Error! No text of specified style in document.</w:t>
    </w:r>
    <w:r>
      <w:fldChar w:fldCharType="end"/>
    </w:r>
  </w:p>
  <w:p w14:paraId="0CB90D65" w14:textId="4D7A077A" w:rsidR="00812EAA" w:rsidRPr="00525922" w:rsidRDefault="00F332A3" w:rsidP="00C716E5">
    <w:pPr>
      <w:pStyle w:val="Footerportrait"/>
    </w:pPr>
    <w:fldSimple w:instr=" STYLEREF &quot;Edition number&quot; \* MERGEFORMAT ">
      <w:r w:rsidR="00AE0681">
        <w:t>Edition 1.0</w:t>
      </w:r>
    </w:fldSimple>
    <w:r w:rsidR="00812EAA" w:rsidRPr="00C907DF">
      <w:tab/>
    </w:r>
    <w:r w:rsidR="00812EAA">
      <w:t xml:space="preserve">P </w:t>
    </w:r>
    <w:r w:rsidR="00812EAA" w:rsidRPr="00C907DF">
      <w:rPr>
        <w:rStyle w:val="PageNumber"/>
        <w:szCs w:val="15"/>
      </w:rPr>
      <w:fldChar w:fldCharType="begin"/>
    </w:r>
    <w:r w:rsidR="00812EAA" w:rsidRPr="00C907DF">
      <w:rPr>
        <w:rStyle w:val="PageNumber"/>
        <w:szCs w:val="15"/>
      </w:rPr>
      <w:instrText xml:space="preserve">PAGE  </w:instrText>
    </w:r>
    <w:r w:rsidR="00812EAA" w:rsidRPr="00C907DF">
      <w:rPr>
        <w:rStyle w:val="PageNumber"/>
        <w:szCs w:val="15"/>
      </w:rPr>
      <w:fldChar w:fldCharType="separate"/>
    </w:r>
    <w:r w:rsidR="00AE0681">
      <w:rPr>
        <w:rStyle w:val="PageNumber"/>
        <w:szCs w:val="15"/>
      </w:rPr>
      <w:t>3</w:t>
    </w:r>
    <w:r w:rsidR="00812EAA"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7914E" w14:textId="77777777" w:rsidR="00812EAA" w:rsidRDefault="00812EAA" w:rsidP="00C716E5">
    <w:pPr>
      <w:pStyle w:val="Footer"/>
    </w:pPr>
  </w:p>
  <w:p w14:paraId="4F0E457C" w14:textId="77777777" w:rsidR="00812EAA" w:rsidRDefault="00812EAA" w:rsidP="00C716E5">
    <w:pPr>
      <w:pStyle w:val="Footerportrait"/>
    </w:pPr>
  </w:p>
  <w:p w14:paraId="718C9251" w14:textId="03657FB3" w:rsidR="00812EAA" w:rsidRPr="00C907DF" w:rsidRDefault="00F332A3" w:rsidP="00184C2E">
    <w:pPr>
      <w:pStyle w:val="Footerportrait"/>
      <w:tabs>
        <w:tab w:val="clear" w:pos="10206"/>
        <w:tab w:val="right" w:pos="15137"/>
      </w:tabs>
    </w:pPr>
    <w:fldSimple w:instr=" STYLEREF &quot;Document type&quot; \* MERGEFORMAT ">
      <w:r w:rsidR="00AE0681">
        <w:t>IALA Guideline</w:t>
      </w:r>
    </w:fldSimple>
    <w:r w:rsidR="00812EAA" w:rsidRPr="00C907DF">
      <w:t xml:space="preserve"> </w:t>
    </w:r>
    <w:fldSimple w:instr=" STYLEREF &quot;Document number&quot; \* MERGEFORMAT ">
      <w:r w:rsidR="00AE0681">
        <w:t>1???</w:t>
      </w:r>
    </w:fldSimple>
    <w:r w:rsidR="00812EAA" w:rsidRPr="00C907DF">
      <w:t xml:space="preserve"> –</w:t>
    </w:r>
    <w:r w:rsidR="00812EAA">
      <w:t xml:space="preserve"> </w:t>
    </w:r>
    <w:r>
      <w:fldChar w:fldCharType="begin"/>
    </w:r>
    <w:r>
      <w:instrText xml:space="preserve"> STYLEREF "Document name" \* MERGEFORMAT </w:instrText>
    </w:r>
    <w:r>
      <w:fldChar w:fldCharType="separate"/>
    </w:r>
    <w:r w:rsidR="00AE0681">
      <w:rPr>
        <w:b w:val="0"/>
        <w:bCs/>
      </w:rPr>
      <w:t>Error! No text of specified style in document.</w:t>
    </w:r>
    <w:r>
      <w:fldChar w:fldCharType="end"/>
    </w:r>
    <w:r w:rsidR="00812EAA">
      <w:tab/>
    </w:r>
  </w:p>
  <w:p w14:paraId="38D61953" w14:textId="6406275B" w:rsidR="00812EAA" w:rsidRPr="00C907DF" w:rsidRDefault="00F332A3" w:rsidP="00184C2E">
    <w:pPr>
      <w:pStyle w:val="Footerportrait"/>
      <w:tabs>
        <w:tab w:val="clear" w:pos="10206"/>
        <w:tab w:val="right" w:pos="15137"/>
      </w:tabs>
    </w:pPr>
    <w:fldSimple w:instr=" STYLEREF &quot;Edition number&quot; \* MERGEFORMAT ">
      <w:r w:rsidR="00AE0681">
        <w:t>Edition 1.0</w:t>
      </w:r>
    </w:fldSimple>
    <w:r w:rsidR="00812EAA">
      <w:t xml:space="preserve">  </w:t>
    </w:r>
    <w:fldSimple w:instr=" STYLEREF &quot;Document date&quot; \* MERGEFORMAT ">
      <w:r w:rsidR="00AE0681">
        <w:t>Document date</w:t>
      </w:r>
    </w:fldSimple>
    <w:r w:rsidR="00812EAA">
      <w:tab/>
    </w:r>
    <w:r w:rsidR="00812EAA">
      <w:rPr>
        <w:rStyle w:val="PageNumber"/>
        <w:szCs w:val="15"/>
      </w:rPr>
      <w:t xml:space="preserve">P </w:t>
    </w:r>
    <w:r w:rsidR="00812EAA" w:rsidRPr="00C907DF">
      <w:rPr>
        <w:rStyle w:val="PageNumber"/>
        <w:szCs w:val="15"/>
      </w:rPr>
      <w:fldChar w:fldCharType="begin"/>
    </w:r>
    <w:r w:rsidR="00812EAA" w:rsidRPr="00C907DF">
      <w:rPr>
        <w:rStyle w:val="PageNumber"/>
        <w:szCs w:val="15"/>
      </w:rPr>
      <w:instrText xml:space="preserve">PAGE  </w:instrText>
    </w:r>
    <w:r w:rsidR="00812EAA" w:rsidRPr="00C907DF">
      <w:rPr>
        <w:rStyle w:val="PageNumber"/>
        <w:szCs w:val="15"/>
      </w:rPr>
      <w:fldChar w:fldCharType="separate"/>
    </w:r>
    <w:r w:rsidR="00AE0681">
      <w:rPr>
        <w:rStyle w:val="PageNumber"/>
        <w:szCs w:val="15"/>
      </w:rPr>
      <w:t>12</w:t>
    </w:r>
    <w:r w:rsidR="00812EAA"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F754A4" w14:textId="77777777" w:rsidR="000F2AC2" w:rsidRDefault="000F2AC2" w:rsidP="003274DB">
      <w:r>
        <w:separator/>
      </w:r>
    </w:p>
    <w:p w14:paraId="2976E4C2" w14:textId="77777777" w:rsidR="000F2AC2" w:rsidRDefault="000F2AC2"/>
  </w:footnote>
  <w:footnote w:type="continuationSeparator" w:id="0">
    <w:p w14:paraId="1DCD315E" w14:textId="77777777" w:rsidR="000F2AC2" w:rsidRDefault="000F2AC2" w:rsidP="003274DB">
      <w:r>
        <w:continuationSeparator/>
      </w:r>
    </w:p>
    <w:p w14:paraId="63EB986C" w14:textId="77777777" w:rsidR="000F2AC2" w:rsidRDefault="000F2AC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E6F01" w14:textId="77777777" w:rsidR="00812EAA" w:rsidRDefault="000F2AC2">
    <w:pPr>
      <w:pStyle w:val="Header"/>
    </w:pPr>
    <w:r>
      <w:rPr>
        <w:noProof/>
      </w:rPr>
      <w:pict w14:anchorId="05539B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623A4B" w14:textId="77777777" w:rsidR="00812EAA" w:rsidRDefault="000F2AC2">
    <w:pPr>
      <w:pStyle w:val="Header"/>
    </w:pPr>
    <w:r>
      <w:rPr>
        <w:noProof/>
      </w:rPr>
      <w:pict w14:anchorId="7B4948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BB1CB" w14:textId="77777777" w:rsidR="00812EAA" w:rsidRPr="00667792" w:rsidRDefault="000F2AC2" w:rsidP="00667792">
    <w:pPr>
      <w:pStyle w:val="Header"/>
    </w:pPr>
    <w:r>
      <w:rPr>
        <w:noProof/>
      </w:rPr>
      <w:pict w14:anchorId="457C69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812EAA">
      <w:rPr>
        <w:noProof/>
        <w:lang w:eastAsia="en-GB"/>
      </w:rPr>
      <w:drawing>
        <wp:anchor distT="0" distB="0" distL="114300" distR="114300" simplePos="0" relativeHeight="251678720" behindDoc="1" locked="0" layoutInCell="1" allowOverlap="1" wp14:anchorId="50FA57B0" wp14:editId="2F02D9CC">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4324EB" w14:textId="77777777" w:rsidR="00812EAA" w:rsidRDefault="000F2AC2">
    <w:pPr>
      <w:pStyle w:val="Header"/>
    </w:pPr>
    <w:r>
      <w:rPr>
        <w:noProof/>
      </w:rPr>
      <w:pict w14:anchorId="1B6A3F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1F6C7D" w14:textId="07B0A377" w:rsidR="00812EAA" w:rsidRPr="00ED2A8D" w:rsidRDefault="000F2AC2" w:rsidP="008747E0">
    <w:pPr>
      <w:pStyle w:val="Header"/>
    </w:pPr>
    <w:r>
      <w:rPr>
        <w:noProof/>
      </w:rPr>
      <w:pict w14:anchorId="737DE3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812EAA" w:rsidRPr="00442889">
      <w:rPr>
        <w:noProof/>
        <w:lang w:eastAsia="en-GB"/>
      </w:rPr>
      <w:drawing>
        <wp:anchor distT="0" distB="0" distL="114300" distR="114300" simplePos="0" relativeHeight="251657214" behindDoc="1" locked="0" layoutInCell="1" allowOverlap="1" wp14:anchorId="3F7E8C74" wp14:editId="74DF0B8A">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AE0681">
      <w:tab/>
    </w:r>
    <w:r w:rsidR="00AE0681">
      <w:tab/>
    </w:r>
    <w:r w:rsidR="00AE0681">
      <w:tab/>
    </w:r>
    <w:r w:rsidR="00AE0681">
      <w:tab/>
    </w:r>
    <w:r w:rsidR="00AE0681">
      <w:tab/>
    </w:r>
    <w:r w:rsidR="00AE0681">
      <w:tab/>
    </w:r>
    <w:r w:rsidR="00AE0681">
      <w:tab/>
    </w:r>
    <w:r w:rsidR="00AE0681">
      <w:tab/>
    </w:r>
    <w:r w:rsidR="00AE0681">
      <w:tab/>
    </w:r>
    <w:r w:rsidR="00AE0681">
      <w:tab/>
    </w:r>
    <w:r w:rsidR="00AE0681">
      <w:t>ENAV22-12.1.3</w:t>
    </w:r>
    <w:bookmarkStart w:id="1" w:name="_GoBack"/>
    <w:bookmarkEnd w:id="1"/>
  </w:p>
  <w:p w14:paraId="4191BA3F" w14:textId="77777777" w:rsidR="00812EAA" w:rsidRPr="00ED2A8D" w:rsidRDefault="00812EAA" w:rsidP="008747E0">
    <w:pPr>
      <w:pStyle w:val="Header"/>
    </w:pPr>
  </w:p>
  <w:p w14:paraId="0EA2DDA1" w14:textId="77777777" w:rsidR="00812EAA" w:rsidRDefault="00812EAA" w:rsidP="008747E0">
    <w:pPr>
      <w:pStyle w:val="Header"/>
    </w:pPr>
  </w:p>
  <w:p w14:paraId="191D1BB1" w14:textId="77777777" w:rsidR="00812EAA" w:rsidRDefault="00812EAA" w:rsidP="008747E0">
    <w:pPr>
      <w:pStyle w:val="Header"/>
    </w:pPr>
  </w:p>
  <w:p w14:paraId="0CBC239B" w14:textId="77777777" w:rsidR="00812EAA" w:rsidRDefault="00812EAA" w:rsidP="008747E0">
    <w:pPr>
      <w:pStyle w:val="Header"/>
    </w:pPr>
  </w:p>
  <w:p w14:paraId="28AE9DAB" w14:textId="77777777" w:rsidR="00812EAA" w:rsidRDefault="00812EAA" w:rsidP="008747E0">
    <w:pPr>
      <w:pStyle w:val="Header"/>
    </w:pPr>
  </w:p>
  <w:p w14:paraId="4DE370FA" w14:textId="77777777" w:rsidR="00812EAA" w:rsidRDefault="00812EAA" w:rsidP="008747E0">
    <w:pPr>
      <w:pStyle w:val="Header"/>
    </w:pPr>
    <w:r>
      <w:rPr>
        <w:noProof/>
        <w:lang w:eastAsia="en-GB"/>
      </w:rPr>
      <w:drawing>
        <wp:anchor distT="0" distB="0" distL="114300" distR="114300" simplePos="0" relativeHeight="251656189" behindDoc="1" locked="0" layoutInCell="1" allowOverlap="1" wp14:anchorId="2BCA9F53" wp14:editId="174F061A">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9720814" w14:textId="77777777" w:rsidR="00812EAA" w:rsidRPr="00ED2A8D" w:rsidRDefault="00812EAA" w:rsidP="008747E0">
    <w:pPr>
      <w:pStyle w:val="Header"/>
    </w:pPr>
  </w:p>
  <w:p w14:paraId="16ACB844" w14:textId="77777777" w:rsidR="00812EAA" w:rsidRPr="00ED2A8D" w:rsidRDefault="00812EAA"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7B76EB" w14:textId="77777777" w:rsidR="00812EAA" w:rsidRDefault="000F2AC2">
    <w:pPr>
      <w:pStyle w:val="Header"/>
    </w:pPr>
    <w:r>
      <w:rPr>
        <w:noProof/>
      </w:rPr>
      <w:pict w14:anchorId="7ACC19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812EAA">
      <w:rPr>
        <w:noProof/>
        <w:lang w:eastAsia="en-GB"/>
      </w:rPr>
      <w:drawing>
        <wp:anchor distT="0" distB="0" distL="114300" distR="114300" simplePos="0" relativeHeight="251688960" behindDoc="1" locked="0" layoutInCell="1" allowOverlap="1" wp14:anchorId="030AB61F" wp14:editId="4CF978D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C8DCB8C" w14:textId="77777777" w:rsidR="00812EAA" w:rsidRDefault="00812EAA">
    <w:pPr>
      <w:pStyle w:val="Header"/>
    </w:pPr>
  </w:p>
  <w:p w14:paraId="36C679D9" w14:textId="77777777" w:rsidR="00812EAA" w:rsidRDefault="00812EA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40EF70" w14:textId="77777777" w:rsidR="00812EAA" w:rsidRDefault="000F2AC2">
    <w:pPr>
      <w:pStyle w:val="Header"/>
    </w:pPr>
    <w:r>
      <w:rPr>
        <w:noProof/>
      </w:rPr>
      <w:pict w14:anchorId="556273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95FFC0" w14:textId="77777777" w:rsidR="00812EAA" w:rsidRPr="00ED2A8D" w:rsidRDefault="000F2AC2" w:rsidP="008747E0">
    <w:pPr>
      <w:pStyle w:val="Header"/>
    </w:pPr>
    <w:r>
      <w:rPr>
        <w:noProof/>
      </w:rPr>
      <w:pict w14:anchorId="3CECD4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812EAA">
      <w:rPr>
        <w:noProof/>
        <w:lang w:eastAsia="en-GB"/>
      </w:rPr>
      <w:drawing>
        <wp:anchor distT="0" distB="0" distL="114300" distR="114300" simplePos="0" relativeHeight="251658752" behindDoc="1" locked="0" layoutInCell="1" allowOverlap="1" wp14:anchorId="64AB2D9B" wp14:editId="16017B50">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B812B35" w14:textId="77777777" w:rsidR="00812EAA" w:rsidRPr="00ED2A8D" w:rsidRDefault="00812EAA" w:rsidP="008747E0">
    <w:pPr>
      <w:pStyle w:val="Header"/>
    </w:pPr>
  </w:p>
  <w:p w14:paraId="256394E1" w14:textId="77777777" w:rsidR="00812EAA" w:rsidRDefault="00812EAA" w:rsidP="008747E0">
    <w:pPr>
      <w:pStyle w:val="Header"/>
    </w:pPr>
  </w:p>
  <w:p w14:paraId="785342B1" w14:textId="77777777" w:rsidR="00812EAA" w:rsidRDefault="00812EAA" w:rsidP="008747E0">
    <w:pPr>
      <w:pStyle w:val="Header"/>
    </w:pPr>
  </w:p>
  <w:p w14:paraId="2D328107" w14:textId="77777777" w:rsidR="00812EAA" w:rsidRDefault="00812EAA" w:rsidP="008747E0">
    <w:pPr>
      <w:pStyle w:val="Header"/>
    </w:pPr>
  </w:p>
  <w:p w14:paraId="058CC5C9" w14:textId="77777777" w:rsidR="00812EAA" w:rsidRPr="00441393" w:rsidRDefault="00812EAA" w:rsidP="00441393">
    <w:pPr>
      <w:pStyle w:val="Contents"/>
    </w:pPr>
    <w:r>
      <w:t xml:space="preserve">DOCUMENT </w:t>
    </w:r>
    <w:r w:rsidR="00921ACD">
      <w:t>HISTORY</w:t>
    </w:r>
  </w:p>
  <w:p w14:paraId="048C5424" w14:textId="77777777" w:rsidR="00812EAA" w:rsidRPr="00ED2A8D" w:rsidRDefault="00812EAA" w:rsidP="008747E0">
    <w:pPr>
      <w:pStyle w:val="Header"/>
    </w:pPr>
  </w:p>
  <w:p w14:paraId="16848B53" w14:textId="77777777" w:rsidR="00812EAA" w:rsidRPr="00AC33A2" w:rsidRDefault="00812EAA"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F8A263" w14:textId="77777777" w:rsidR="00812EAA" w:rsidRDefault="000F2AC2">
    <w:pPr>
      <w:pStyle w:val="Header"/>
    </w:pPr>
    <w:r>
      <w:rPr>
        <w:noProof/>
      </w:rPr>
      <w:pict w14:anchorId="51E464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B7AD7E" w14:textId="77777777" w:rsidR="00812EAA" w:rsidRDefault="000F2AC2">
    <w:pPr>
      <w:pStyle w:val="Header"/>
    </w:pPr>
    <w:r>
      <w:rPr>
        <w:noProof/>
      </w:rPr>
      <w:pict w14:anchorId="41DE7B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04932" w14:textId="77777777" w:rsidR="00812EAA" w:rsidRPr="00ED2A8D" w:rsidRDefault="000F2AC2" w:rsidP="008747E0">
    <w:pPr>
      <w:pStyle w:val="Header"/>
    </w:pPr>
    <w:r>
      <w:rPr>
        <w:noProof/>
      </w:rPr>
      <w:pict w14:anchorId="0F2343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812EAA">
      <w:rPr>
        <w:noProof/>
        <w:lang w:eastAsia="en-GB"/>
      </w:rPr>
      <w:drawing>
        <wp:anchor distT="0" distB="0" distL="114300" distR="114300" simplePos="0" relativeHeight="251674624" behindDoc="1" locked="0" layoutInCell="1" allowOverlap="1" wp14:anchorId="56E7B576" wp14:editId="12294E81">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384DAE8" w14:textId="77777777" w:rsidR="00812EAA" w:rsidRPr="00ED2A8D" w:rsidRDefault="00812EAA" w:rsidP="008747E0">
    <w:pPr>
      <w:pStyle w:val="Header"/>
    </w:pPr>
  </w:p>
  <w:p w14:paraId="5ACEC4A8" w14:textId="77777777" w:rsidR="00812EAA" w:rsidRDefault="00812EAA" w:rsidP="008747E0">
    <w:pPr>
      <w:pStyle w:val="Header"/>
    </w:pPr>
  </w:p>
  <w:p w14:paraId="495B3AB8" w14:textId="77777777" w:rsidR="00812EAA" w:rsidRDefault="00812EAA" w:rsidP="008747E0">
    <w:pPr>
      <w:pStyle w:val="Header"/>
    </w:pPr>
  </w:p>
  <w:p w14:paraId="4BE88EF1" w14:textId="77777777" w:rsidR="00812EAA" w:rsidRDefault="00812EAA" w:rsidP="008747E0">
    <w:pPr>
      <w:pStyle w:val="Header"/>
    </w:pPr>
  </w:p>
  <w:p w14:paraId="33C0952F" w14:textId="77777777" w:rsidR="00812EAA" w:rsidRPr="00441393" w:rsidRDefault="00812EAA" w:rsidP="00441393">
    <w:pPr>
      <w:pStyle w:val="Contents"/>
    </w:pPr>
    <w:r>
      <w:t>CONTENTS</w:t>
    </w:r>
  </w:p>
  <w:p w14:paraId="7E27F98C" w14:textId="77777777" w:rsidR="00812EAA" w:rsidRDefault="00812EAA" w:rsidP="0078486B">
    <w:pPr>
      <w:pStyle w:val="Header"/>
      <w:spacing w:line="140" w:lineRule="exact"/>
    </w:pPr>
  </w:p>
  <w:p w14:paraId="5E9D6904" w14:textId="77777777" w:rsidR="00812EAA" w:rsidRPr="00AC33A2" w:rsidRDefault="00812EAA"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455796" w14:textId="77777777" w:rsidR="00812EAA" w:rsidRPr="00ED2A8D" w:rsidRDefault="000F2AC2" w:rsidP="00C716E5">
    <w:pPr>
      <w:pStyle w:val="Header"/>
    </w:pPr>
    <w:r>
      <w:rPr>
        <w:noProof/>
      </w:rPr>
      <w:pict w14:anchorId="55B56E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812EAA">
      <w:rPr>
        <w:noProof/>
        <w:lang w:eastAsia="en-GB"/>
      </w:rPr>
      <w:drawing>
        <wp:anchor distT="0" distB="0" distL="114300" distR="114300" simplePos="0" relativeHeight="251697152" behindDoc="1" locked="0" layoutInCell="1" allowOverlap="1" wp14:anchorId="2C4F85FE" wp14:editId="01D4211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43DE2BF" w14:textId="77777777" w:rsidR="00812EAA" w:rsidRPr="00ED2A8D" w:rsidRDefault="00812EAA" w:rsidP="00C716E5">
    <w:pPr>
      <w:pStyle w:val="Header"/>
    </w:pPr>
  </w:p>
  <w:p w14:paraId="55307747" w14:textId="77777777" w:rsidR="00812EAA" w:rsidRDefault="00812EAA" w:rsidP="00C716E5">
    <w:pPr>
      <w:pStyle w:val="Header"/>
    </w:pPr>
  </w:p>
  <w:p w14:paraId="3F5CB9FB" w14:textId="77777777" w:rsidR="00812EAA" w:rsidRDefault="00812EAA" w:rsidP="00C716E5">
    <w:pPr>
      <w:pStyle w:val="Header"/>
    </w:pPr>
  </w:p>
  <w:p w14:paraId="6357AE32" w14:textId="77777777" w:rsidR="00812EAA" w:rsidRDefault="00812EAA" w:rsidP="00C716E5">
    <w:pPr>
      <w:pStyle w:val="Header"/>
    </w:pPr>
  </w:p>
  <w:p w14:paraId="35C2901A" w14:textId="77777777" w:rsidR="00812EAA" w:rsidRPr="00441393" w:rsidRDefault="00812EAA" w:rsidP="00C716E5">
    <w:pPr>
      <w:pStyle w:val="Contents"/>
    </w:pPr>
    <w:r>
      <w:t>CONTENTS</w:t>
    </w:r>
  </w:p>
  <w:p w14:paraId="041F0A6B" w14:textId="77777777" w:rsidR="00812EAA" w:rsidRPr="00ED2A8D" w:rsidRDefault="00812EAA" w:rsidP="00C716E5">
    <w:pPr>
      <w:pStyle w:val="Header"/>
    </w:pPr>
  </w:p>
  <w:p w14:paraId="35DF5D99" w14:textId="77777777" w:rsidR="00812EAA" w:rsidRPr="00AC33A2" w:rsidRDefault="00812EAA" w:rsidP="00C716E5">
    <w:pPr>
      <w:pStyle w:val="Header"/>
      <w:spacing w:line="140" w:lineRule="exact"/>
    </w:pPr>
  </w:p>
  <w:p w14:paraId="55168F4C" w14:textId="77777777" w:rsidR="00812EAA" w:rsidRDefault="00812EAA">
    <w:pPr>
      <w:pStyle w:val="Header"/>
    </w:pPr>
    <w:r>
      <w:rPr>
        <w:noProof/>
        <w:lang w:eastAsia="en-GB"/>
      </w:rPr>
      <w:drawing>
        <wp:anchor distT="0" distB="0" distL="114300" distR="114300" simplePos="0" relativeHeight="251695104" behindDoc="1" locked="0" layoutInCell="1" allowOverlap="1" wp14:anchorId="42072615" wp14:editId="274CD796">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6CA310F"/>
    <w:multiLevelType w:val="hybridMultilevel"/>
    <w:tmpl w:val="B696464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DF818D3"/>
    <w:multiLevelType w:val="hybridMultilevel"/>
    <w:tmpl w:val="37D8D5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7522196"/>
    <w:multiLevelType w:val="hybridMultilevel"/>
    <w:tmpl w:val="806A01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4">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0F24461"/>
    <w:multiLevelType w:val="hybridMultilevel"/>
    <w:tmpl w:val="211805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49310E6B"/>
    <w:multiLevelType w:val="hybridMultilevel"/>
    <w:tmpl w:val="B72C97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3231DBA"/>
    <w:multiLevelType w:val="hybridMultilevel"/>
    <w:tmpl w:val="258CD3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6B743AC"/>
    <w:multiLevelType w:val="hybridMultilevel"/>
    <w:tmpl w:val="B78ABA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7AB4D84"/>
    <w:multiLevelType w:val="multilevel"/>
    <w:tmpl w:val="0D5613AA"/>
    <w:lvl w:ilvl="0">
      <w:start w:val="1"/>
      <w:numFmt w:val="decimal"/>
      <w:lvlText w:val="%1"/>
      <w:lvlJc w:val="left"/>
      <w:pPr>
        <w:tabs>
          <w:tab w:val="num" w:pos="0"/>
        </w:tabs>
        <w:ind w:left="709" w:hanging="709"/>
      </w:pPr>
      <w:rPr>
        <w:rFonts w:asciiTheme="minorHAnsi" w:hAnsiTheme="minorHAnsi" w:hint="default"/>
        <w:b/>
        <w:i w:val="0"/>
        <w:caps/>
        <w:color w:val="009FDF"/>
        <w:sz w:val="28"/>
      </w:rPr>
    </w:lvl>
    <w:lvl w:ilvl="1">
      <w:start w:val="1"/>
      <w:numFmt w:val="decimal"/>
      <w:lvlText w:val="%1.%2"/>
      <w:lvlJc w:val="left"/>
      <w:pPr>
        <w:tabs>
          <w:tab w:val="num" w:pos="0"/>
        </w:tabs>
        <w:ind w:left="851" w:hanging="851"/>
      </w:pPr>
      <w:rPr>
        <w:rFonts w:asciiTheme="minorHAnsi" w:hAnsiTheme="minorHAnsi" w:hint="default"/>
        <w:b/>
        <w:i w:val="0"/>
        <w:caps/>
        <w:color w:val="009FDF"/>
        <w:sz w:val="24"/>
      </w:rPr>
    </w:lvl>
    <w:lvl w:ilvl="2">
      <w:start w:val="1"/>
      <w:numFmt w:val="decimal"/>
      <w:lvlText w:val="%1.%2.%3"/>
      <w:lvlJc w:val="left"/>
      <w:pPr>
        <w:tabs>
          <w:tab w:val="num" w:pos="0"/>
        </w:tabs>
        <w:ind w:left="992" w:hanging="992"/>
      </w:pPr>
      <w:rPr>
        <w:rFonts w:asciiTheme="minorHAnsi" w:hAnsiTheme="minorHAnsi" w:hint="default"/>
        <w:b/>
        <w:i w:val="0"/>
        <w:caps/>
        <w:color w:val="009FDF"/>
        <w:sz w:val="24"/>
      </w:rPr>
    </w:lvl>
    <w:lvl w:ilvl="3">
      <w:start w:val="1"/>
      <w:numFmt w:val="decimal"/>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22D0B73"/>
    <w:multiLevelType w:val="hybridMultilevel"/>
    <w:tmpl w:val="D3725A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7FB47B7C"/>
    <w:multiLevelType w:val="hybridMultilevel"/>
    <w:tmpl w:val="504CFD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8"/>
  </w:num>
  <w:num w:numId="2">
    <w:abstractNumId w:val="41"/>
  </w:num>
  <w:num w:numId="3">
    <w:abstractNumId w:val="8"/>
  </w:num>
  <w:num w:numId="4">
    <w:abstractNumId w:val="22"/>
  </w:num>
  <w:num w:numId="5">
    <w:abstractNumId w:val="19"/>
  </w:num>
  <w:num w:numId="6">
    <w:abstractNumId w:val="16"/>
  </w:num>
  <w:num w:numId="7">
    <w:abstractNumId w:val="25"/>
  </w:num>
  <w:num w:numId="8">
    <w:abstractNumId w:val="7"/>
  </w:num>
  <w:num w:numId="9">
    <w:abstractNumId w:val="15"/>
  </w:num>
  <w:num w:numId="10">
    <w:abstractNumId w:val="20"/>
  </w:num>
  <w:num w:numId="11">
    <w:abstractNumId w:val="4"/>
  </w:num>
  <w:num w:numId="12">
    <w:abstractNumId w:val="27"/>
  </w:num>
  <w:num w:numId="13">
    <w:abstractNumId w:val="0"/>
  </w:num>
  <w:num w:numId="14">
    <w:abstractNumId w:val="38"/>
  </w:num>
  <w:num w:numId="15">
    <w:abstractNumId w:val="13"/>
  </w:num>
  <w:num w:numId="16">
    <w:abstractNumId w:val="12"/>
  </w:num>
  <w:num w:numId="17">
    <w:abstractNumId w:val="24"/>
  </w:num>
  <w:num w:numId="18">
    <w:abstractNumId w:val="2"/>
  </w:num>
  <w:num w:numId="19">
    <w:abstractNumId w:val="11"/>
  </w:num>
  <w:num w:numId="20">
    <w:abstractNumId w:val="32"/>
  </w:num>
  <w:num w:numId="21">
    <w:abstractNumId w:val="10"/>
  </w:num>
  <w:num w:numId="22">
    <w:abstractNumId w:val="40"/>
  </w:num>
  <w:num w:numId="23">
    <w:abstractNumId w:val="1"/>
  </w:num>
  <w:num w:numId="24">
    <w:abstractNumId w:val="21"/>
  </w:num>
  <w:num w:numId="25">
    <w:abstractNumId w:val="17"/>
  </w:num>
  <w:num w:numId="26">
    <w:abstractNumId w:val="31"/>
  </w:num>
  <w:num w:numId="27">
    <w:abstractNumId w:val="33"/>
  </w:num>
  <w:num w:numId="28">
    <w:abstractNumId w:val="5"/>
  </w:num>
  <w:num w:numId="29">
    <w:abstractNumId w:val="23"/>
  </w:num>
  <w:num w:numId="30">
    <w:abstractNumId w:val="14"/>
  </w:num>
  <w:num w:numId="31">
    <w:abstractNumId w:val="9"/>
  </w:num>
  <w:num w:numId="32">
    <w:abstractNumId w:val="39"/>
  </w:num>
  <w:num w:numId="33">
    <w:abstractNumId w:val="36"/>
  </w:num>
  <w:num w:numId="34">
    <w:abstractNumId w:val="18"/>
  </w:num>
  <w:num w:numId="35">
    <w:abstractNumId w:val="34"/>
  </w:num>
  <w:num w:numId="36">
    <w:abstractNumId w:val="29"/>
  </w:num>
  <w:num w:numId="37">
    <w:abstractNumId w:val="6"/>
  </w:num>
  <w:num w:numId="38">
    <w:abstractNumId w:val="37"/>
  </w:num>
  <w:num w:numId="39">
    <w:abstractNumId w:val="42"/>
  </w:num>
  <w:num w:numId="40">
    <w:abstractNumId w:val="3"/>
  </w:num>
  <w:num w:numId="41">
    <w:abstractNumId w:val="30"/>
  </w:num>
  <w:num w:numId="42">
    <w:abstractNumId w:val="26"/>
  </w:num>
  <w:num w:numId="43">
    <w:abstractNumId w:val="35"/>
  </w:num>
  <w:numIdMacAtCleanup w:val="4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illian Carson-Jackson">
    <w15:presenceInfo w15:providerId="None" w15:userId="Jillian Carson-Jack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AB1"/>
    <w:rsid w:val="0001616D"/>
    <w:rsid w:val="00016839"/>
    <w:rsid w:val="000174F9"/>
    <w:rsid w:val="000249C2"/>
    <w:rsid w:val="000258F6"/>
    <w:rsid w:val="000379A7"/>
    <w:rsid w:val="00040EB8"/>
    <w:rsid w:val="000439A4"/>
    <w:rsid w:val="00044293"/>
    <w:rsid w:val="000472F8"/>
    <w:rsid w:val="0005449E"/>
    <w:rsid w:val="00057699"/>
    <w:rsid w:val="00057B6D"/>
    <w:rsid w:val="00061A7B"/>
    <w:rsid w:val="0008654C"/>
    <w:rsid w:val="000904ED"/>
    <w:rsid w:val="00091545"/>
    <w:rsid w:val="000A27A8"/>
    <w:rsid w:val="000B2356"/>
    <w:rsid w:val="000C711B"/>
    <w:rsid w:val="000D2431"/>
    <w:rsid w:val="000E3954"/>
    <w:rsid w:val="000E3E52"/>
    <w:rsid w:val="000F0F9F"/>
    <w:rsid w:val="000F2AC2"/>
    <w:rsid w:val="000F3F43"/>
    <w:rsid w:val="000F58ED"/>
    <w:rsid w:val="00110865"/>
    <w:rsid w:val="00113D5B"/>
    <w:rsid w:val="00113F8F"/>
    <w:rsid w:val="00122EBD"/>
    <w:rsid w:val="001349DB"/>
    <w:rsid w:val="00135AEB"/>
    <w:rsid w:val="00136E58"/>
    <w:rsid w:val="00152A5B"/>
    <w:rsid w:val="001547F9"/>
    <w:rsid w:val="001607D8"/>
    <w:rsid w:val="00160ECB"/>
    <w:rsid w:val="00161325"/>
    <w:rsid w:val="0017187B"/>
    <w:rsid w:val="00184427"/>
    <w:rsid w:val="00184C2E"/>
    <w:rsid w:val="001875B1"/>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7175D"/>
    <w:rsid w:val="0028314D"/>
    <w:rsid w:val="0029793F"/>
    <w:rsid w:val="002A1C42"/>
    <w:rsid w:val="002A617C"/>
    <w:rsid w:val="002A71CF"/>
    <w:rsid w:val="002B3E9D"/>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A04A6"/>
    <w:rsid w:val="003A1A56"/>
    <w:rsid w:val="003A7759"/>
    <w:rsid w:val="003A7F6E"/>
    <w:rsid w:val="003B03EA"/>
    <w:rsid w:val="003C7C34"/>
    <w:rsid w:val="003D0F37"/>
    <w:rsid w:val="003D5150"/>
    <w:rsid w:val="003F1901"/>
    <w:rsid w:val="003F1C3A"/>
    <w:rsid w:val="0041086B"/>
    <w:rsid w:val="00414698"/>
    <w:rsid w:val="0042565E"/>
    <w:rsid w:val="00432C05"/>
    <w:rsid w:val="00440379"/>
    <w:rsid w:val="00441393"/>
    <w:rsid w:val="00447CF0"/>
    <w:rsid w:val="00456F10"/>
    <w:rsid w:val="00474746"/>
    <w:rsid w:val="00476942"/>
    <w:rsid w:val="00477027"/>
    <w:rsid w:val="00477D62"/>
    <w:rsid w:val="004871A2"/>
    <w:rsid w:val="00492A8D"/>
    <w:rsid w:val="004944C8"/>
    <w:rsid w:val="004A0EBF"/>
    <w:rsid w:val="004A4AC4"/>
    <w:rsid w:val="004A4EC4"/>
    <w:rsid w:val="004B494F"/>
    <w:rsid w:val="004C0E4B"/>
    <w:rsid w:val="004C75DE"/>
    <w:rsid w:val="004D6D3F"/>
    <w:rsid w:val="004E0BBB"/>
    <w:rsid w:val="004E1D57"/>
    <w:rsid w:val="004E2F16"/>
    <w:rsid w:val="004F1812"/>
    <w:rsid w:val="004F5930"/>
    <w:rsid w:val="004F6196"/>
    <w:rsid w:val="00503044"/>
    <w:rsid w:val="00510AD9"/>
    <w:rsid w:val="00517E6C"/>
    <w:rsid w:val="00523666"/>
    <w:rsid w:val="00525922"/>
    <w:rsid w:val="00526234"/>
    <w:rsid w:val="00534F34"/>
    <w:rsid w:val="0053692E"/>
    <w:rsid w:val="005378A6"/>
    <w:rsid w:val="00547837"/>
    <w:rsid w:val="00552EA6"/>
    <w:rsid w:val="00557337"/>
    <w:rsid w:val="00557434"/>
    <w:rsid w:val="00576D38"/>
    <w:rsid w:val="00577542"/>
    <w:rsid w:val="005805D2"/>
    <w:rsid w:val="00595415"/>
    <w:rsid w:val="00597652"/>
    <w:rsid w:val="005A0703"/>
    <w:rsid w:val="005A080B"/>
    <w:rsid w:val="005B12A5"/>
    <w:rsid w:val="005C161A"/>
    <w:rsid w:val="005C1BCB"/>
    <w:rsid w:val="005C2312"/>
    <w:rsid w:val="005C4735"/>
    <w:rsid w:val="005C5C63"/>
    <w:rsid w:val="005C6395"/>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127AC"/>
    <w:rsid w:val="006218E8"/>
    <w:rsid w:val="00634A78"/>
    <w:rsid w:val="00642025"/>
    <w:rsid w:val="00646E87"/>
    <w:rsid w:val="0065107F"/>
    <w:rsid w:val="00661445"/>
    <w:rsid w:val="00661946"/>
    <w:rsid w:val="00662990"/>
    <w:rsid w:val="00666061"/>
    <w:rsid w:val="00667424"/>
    <w:rsid w:val="00667792"/>
    <w:rsid w:val="0067154B"/>
    <w:rsid w:val="00671677"/>
    <w:rsid w:val="006744D8"/>
    <w:rsid w:val="006750F2"/>
    <w:rsid w:val="006752D6"/>
    <w:rsid w:val="00675E02"/>
    <w:rsid w:val="006802D8"/>
    <w:rsid w:val="0068553C"/>
    <w:rsid w:val="00685F34"/>
    <w:rsid w:val="00695656"/>
    <w:rsid w:val="006975A8"/>
    <w:rsid w:val="006A1012"/>
    <w:rsid w:val="006C1376"/>
    <w:rsid w:val="006C48F9"/>
    <w:rsid w:val="006E0E7D"/>
    <w:rsid w:val="006E10BF"/>
    <w:rsid w:val="006F1C14"/>
    <w:rsid w:val="006F6A16"/>
    <w:rsid w:val="00703A6A"/>
    <w:rsid w:val="00722236"/>
    <w:rsid w:val="00725CCA"/>
    <w:rsid w:val="0072737A"/>
    <w:rsid w:val="007311E7"/>
    <w:rsid w:val="00731DEE"/>
    <w:rsid w:val="00734BC6"/>
    <w:rsid w:val="007427B2"/>
    <w:rsid w:val="007541D3"/>
    <w:rsid w:val="00756ACD"/>
    <w:rsid w:val="007577D7"/>
    <w:rsid w:val="0076781A"/>
    <w:rsid w:val="007715E8"/>
    <w:rsid w:val="00776004"/>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C3AB1"/>
    <w:rsid w:val="007D1805"/>
    <w:rsid w:val="007D2107"/>
    <w:rsid w:val="007D3A42"/>
    <w:rsid w:val="007D5895"/>
    <w:rsid w:val="007D77AB"/>
    <w:rsid w:val="007E28D0"/>
    <w:rsid w:val="007E30DF"/>
    <w:rsid w:val="007F7544"/>
    <w:rsid w:val="00800995"/>
    <w:rsid w:val="00812EAA"/>
    <w:rsid w:val="00816F79"/>
    <w:rsid w:val="008172F8"/>
    <w:rsid w:val="0082599E"/>
    <w:rsid w:val="008326B2"/>
    <w:rsid w:val="00837DBD"/>
    <w:rsid w:val="00846831"/>
    <w:rsid w:val="00851F87"/>
    <w:rsid w:val="00865532"/>
    <w:rsid w:val="00867686"/>
    <w:rsid w:val="008737D3"/>
    <w:rsid w:val="008747E0"/>
    <w:rsid w:val="00876841"/>
    <w:rsid w:val="00882B3C"/>
    <w:rsid w:val="0088783D"/>
    <w:rsid w:val="0089476E"/>
    <w:rsid w:val="008972C3"/>
    <w:rsid w:val="008A28D9"/>
    <w:rsid w:val="008A30BA"/>
    <w:rsid w:val="008C33B5"/>
    <w:rsid w:val="008C3A72"/>
    <w:rsid w:val="008C6969"/>
    <w:rsid w:val="008D29F3"/>
    <w:rsid w:val="008D3883"/>
    <w:rsid w:val="008E1F69"/>
    <w:rsid w:val="008E76B1"/>
    <w:rsid w:val="008F38BB"/>
    <w:rsid w:val="008F57D8"/>
    <w:rsid w:val="00902834"/>
    <w:rsid w:val="00910058"/>
    <w:rsid w:val="009115DD"/>
    <w:rsid w:val="00914330"/>
    <w:rsid w:val="00914E26"/>
    <w:rsid w:val="0091590F"/>
    <w:rsid w:val="00921ACD"/>
    <w:rsid w:val="00923B4D"/>
    <w:rsid w:val="0092540C"/>
    <w:rsid w:val="00925E0F"/>
    <w:rsid w:val="00931A57"/>
    <w:rsid w:val="00934294"/>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6A3D"/>
    <w:rsid w:val="00A10EBA"/>
    <w:rsid w:val="00A13E56"/>
    <w:rsid w:val="00A14644"/>
    <w:rsid w:val="00A227BF"/>
    <w:rsid w:val="00A24838"/>
    <w:rsid w:val="00A2743E"/>
    <w:rsid w:val="00A30C33"/>
    <w:rsid w:val="00A30E75"/>
    <w:rsid w:val="00A4308C"/>
    <w:rsid w:val="00A43395"/>
    <w:rsid w:val="00A44836"/>
    <w:rsid w:val="00A524B5"/>
    <w:rsid w:val="00A549B3"/>
    <w:rsid w:val="00A56184"/>
    <w:rsid w:val="00A67954"/>
    <w:rsid w:val="00A72ED7"/>
    <w:rsid w:val="00A748A1"/>
    <w:rsid w:val="00A8083F"/>
    <w:rsid w:val="00A90D86"/>
    <w:rsid w:val="00A91DBA"/>
    <w:rsid w:val="00A97900"/>
    <w:rsid w:val="00AA1D7A"/>
    <w:rsid w:val="00AA3E01"/>
    <w:rsid w:val="00AB0BFA"/>
    <w:rsid w:val="00AB4A37"/>
    <w:rsid w:val="00AB76B7"/>
    <w:rsid w:val="00AC33A2"/>
    <w:rsid w:val="00AD38F7"/>
    <w:rsid w:val="00AE0681"/>
    <w:rsid w:val="00AE65F1"/>
    <w:rsid w:val="00AE6BB4"/>
    <w:rsid w:val="00AE74AD"/>
    <w:rsid w:val="00AF159C"/>
    <w:rsid w:val="00B01873"/>
    <w:rsid w:val="00B036AF"/>
    <w:rsid w:val="00B074AB"/>
    <w:rsid w:val="00B07717"/>
    <w:rsid w:val="00B17253"/>
    <w:rsid w:val="00B17D23"/>
    <w:rsid w:val="00B2583D"/>
    <w:rsid w:val="00B300B1"/>
    <w:rsid w:val="00B31A41"/>
    <w:rsid w:val="00B3287F"/>
    <w:rsid w:val="00B3400D"/>
    <w:rsid w:val="00B40199"/>
    <w:rsid w:val="00B502FF"/>
    <w:rsid w:val="00B528D3"/>
    <w:rsid w:val="00B643DF"/>
    <w:rsid w:val="00B65300"/>
    <w:rsid w:val="00B67422"/>
    <w:rsid w:val="00B70BD4"/>
    <w:rsid w:val="00B712CA"/>
    <w:rsid w:val="00B73463"/>
    <w:rsid w:val="00B76FD5"/>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1EEC"/>
    <w:rsid w:val="00BE5568"/>
    <w:rsid w:val="00BE5764"/>
    <w:rsid w:val="00BE7295"/>
    <w:rsid w:val="00BF1358"/>
    <w:rsid w:val="00C0106D"/>
    <w:rsid w:val="00C03944"/>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1E62"/>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3A20"/>
    <w:rsid w:val="00CA4EC9"/>
    <w:rsid w:val="00CB03D4"/>
    <w:rsid w:val="00CB0617"/>
    <w:rsid w:val="00CB08B6"/>
    <w:rsid w:val="00CB137B"/>
    <w:rsid w:val="00CB7460"/>
    <w:rsid w:val="00CC35EF"/>
    <w:rsid w:val="00CC5048"/>
    <w:rsid w:val="00CC6246"/>
    <w:rsid w:val="00CE5860"/>
    <w:rsid w:val="00CE5E46"/>
    <w:rsid w:val="00CF49CC"/>
    <w:rsid w:val="00CF54C2"/>
    <w:rsid w:val="00D04F0B"/>
    <w:rsid w:val="00D07384"/>
    <w:rsid w:val="00D1463A"/>
    <w:rsid w:val="00D24632"/>
    <w:rsid w:val="00D252C9"/>
    <w:rsid w:val="00D32DDF"/>
    <w:rsid w:val="00D3700C"/>
    <w:rsid w:val="00D4573B"/>
    <w:rsid w:val="00D638E0"/>
    <w:rsid w:val="00D653B1"/>
    <w:rsid w:val="00D74AE1"/>
    <w:rsid w:val="00D75D42"/>
    <w:rsid w:val="00D80B20"/>
    <w:rsid w:val="00D865A8"/>
    <w:rsid w:val="00D9012A"/>
    <w:rsid w:val="00D92C2D"/>
    <w:rsid w:val="00D9361E"/>
    <w:rsid w:val="00D94F38"/>
    <w:rsid w:val="00DA17CD"/>
    <w:rsid w:val="00DB25B3"/>
    <w:rsid w:val="00DD041E"/>
    <w:rsid w:val="00DD60F2"/>
    <w:rsid w:val="00DE0893"/>
    <w:rsid w:val="00DE2814"/>
    <w:rsid w:val="00DE6290"/>
    <w:rsid w:val="00DE6796"/>
    <w:rsid w:val="00DF41B2"/>
    <w:rsid w:val="00E01166"/>
    <w:rsid w:val="00E01272"/>
    <w:rsid w:val="00E015AE"/>
    <w:rsid w:val="00E03067"/>
    <w:rsid w:val="00E03846"/>
    <w:rsid w:val="00E069B6"/>
    <w:rsid w:val="00E16EB4"/>
    <w:rsid w:val="00E20A7D"/>
    <w:rsid w:val="00E21A27"/>
    <w:rsid w:val="00E27A2F"/>
    <w:rsid w:val="00E42A94"/>
    <w:rsid w:val="00E44826"/>
    <w:rsid w:val="00E451BA"/>
    <w:rsid w:val="00E454B5"/>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2ACE"/>
    <w:rsid w:val="00ED4450"/>
    <w:rsid w:val="00EE54CB"/>
    <w:rsid w:val="00EE6424"/>
    <w:rsid w:val="00EF1C54"/>
    <w:rsid w:val="00EF404B"/>
    <w:rsid w:val="00F00376"/>
    <w:rsid w:val="00F01F0C"/>
    <w:rsid w:val="00F02A5A"/>
    <w:rsid w:val="00F11368"/>
    <w:rsid w:val="00F11764"/>
    <w:rsid w:val="00F157E2"/>
    <w:rsid w:val="00F259E2"/>
    <w:rsid w:val="00F332A3"/>
    <w:rsid w:val="00F41AAF"/>
    <w:rsid w:val="00F41F0B"/>
    <w:rsid w:val="00F527AC"/>
    <w:rsid w:val="00F5503F"/>
    <w:rsid w:val="00F61D83"/>
    <w:rsid w:val="00F65DD1"/>
    <w:rsid w:val="00F707B3"/>
    <w:rsid w:val="00F71135"/>
    <w:rsid w:val="00F74309"/>
    <w:rsid w:val="00F7793E"/>
    <w:rsid w:val="00F82C35"/>
    <w:rsid w:val="00F90461"/>
    <w:rsid w:val="00FA370D"/>
    <w:rsid w:val="00FA66F1"/>
    <w:rsid w:val="00FC06AF"/>
    <w:rsid w:val="00FC378B"/>
    <w:rsid w:val="00FC397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4DFEE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2"/>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APPENDIX0">
    <w:name w:val="APPENDIX"/>
    <w:basedOn w:val="Annex"/>
    <w:next w:val="Normal"/>
    <w:rsid w:val="004C75DE"/>
    <w:pPr>
      <w:numPr>
        <w:numId w:val="0"/>
      </w:numPr>
      <w:spacing w:before="120" w:after="240" w:line="240" w:lineRule="auto"/>
      <w:ind w:left="1701" w:hanging="1701"/>
    </w:pPr>
    <w:rPr>
      <w:rFonts w:eastAsia="Calibri" w:cs="Calibri"/>
      <w:bCs/>
      <w:caps w:val="0"/>
      <w:color w:val="009FDF"/>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2"/>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APPENDIX0">
    <w:name w:val="APPENDIX"/>
    <w:basedOn w:val="Annex"/>
    <w:next w:val="Normal"/>
    <w:rsid w:val="004C75DE"/>
    <w:pPr>
      <w:numPr>
        <w:numId w:val="0"/>
      </w:numPr>
      <w:spacing w:before="120" w:after="240" w:line="240" w:lineRule="auto"/>
      <w:ind w:left="1701" w:hanging="1701"/>
    </w:pPr>
    <w:rPr>
      <w:rFonts w:eastAsia="Calibri" w:cs="Calibri"/>
      <w:bCs/>
      <w:caps w:val="0"/>
      <w:color w:val="009FDF"/>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image" Target="cid:image002.jpg@01D2A8A1.336C43E0" TargetMode="External"/><Relationship Id="rId21" Type="http://schemas.openxmlformats.org/officeDocument/2006/relationships/header" Target="header9.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image" Target="media/image5.jpeg"/><Relationship Id="rId33" Type="http://schemas.openxmlformats.org/officeDocument/2006/relationships/header" Target="header12.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yperlink" Target="http://www.iala-aism.org/wiki/dictionar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4.jpeg"/><Relationship Id="rId32" Type="http://schemas.openxmlformats.org/officeDocument/2006/relationships/footer" Target="footer6.xml"/><Relationship Id="rId37"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comments" Target="comments.xml"/><Relationship Id="rId28" Type="http://schemas.openxmlformats.org/officeDocument/2006/relationships/image" Target="cid:image003.jpg@01D2A8A1.336C43E0" TargetMode="External"/><Relationship Id="rId36" Type="http://schemas.microsoft.com/office/2016/09/relationships/commentsIds" Target="commentsIds.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eader" Target="header1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image" Target="media/image6.jpeg"/><Relationship Id="rId30" Type="http://schemas.openxmlformats.org/officeDocument/2006/relationships/header" Target="header10.xml"/><Relationship Id="rId35"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lli\AppData\Local\Packages\Microsoft.MicrosoftEdge_8wekyb3d8bbwe\TempState\Downloads\Guideline%20Template%2017Apr17%20(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EB255-4FBB-41E8-9A24-A1627D1E9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 17Apr17 (1).dotx</Template>
  <TotalTime>4</TotalTime>
  <Pages>12</Pages>
  <Words>2735</Words>
  <Characters>15592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18291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Jillian Carson-Jackson</dc:creator>
  <cp:keywords/>
  <dc:description/>
  <cp:lastModifiedBy>Wim</cp:lastModifiedBy>
  <cp:revision>3</cp:revision>
  <dcterms:created xsi:type="dcterms:W3CDTF">2018-10-11T12:09:00Z</dcterms:created>
  <dcterms:modified xsi:type="dcterms:W3CDTF">2018-10-11T12:49:00Z</dcterms:modified>
  <cp:category/>
</cp:coreProperties>
</file>